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b/>
          <w:bCs/>
          <w:sz w:val="20"/>
          <w:szCs w:val="20"/>
        </w:rPr>
        <w:t>Title 40: Protection of Environment</w:t>
      </w:r>
      <w:r w:rsidRPr="00F16C03">
        <w:rPr>
          <w:rFonts w:ascii="Book Antiqua" w:eastAsia="Times New Roman" w:hAnsi="Book Antiqua" w:cs="Arial"/>
          <w:sz w:val="20"/>
          <w:szCs w:val="20"/>
        </w:rPr>
        <w:br/>
      </w:r>
      <w:bookmarkStart w:id="0" w:name="40:6.0.1.1.1"/>
      <w:r w:rsidRPr="00F16C03">
        <w:rPr>
          <w:rFonts w:ascii="Book Antiqua" w:eastAsia="Times New Roman" w:hAnsi="Book Antiqua" w:cs="Arial"/>
          <w:sz w:val="20"/>
          <w:szCs w:val="20"/>
        </w:rPr>
        <w:fldChar w:fldCharType="begin"/>
      </w:r>
      <w:r w:rsidRPr="00F16C03">
        <w:rPr>
          <w:rFonts w:ascii="Book Antiqua" w:eastAsia="Times New Roman" w:hAnsi="Book Antiqua" w:cs="Arial"/>
          <w:sz w:val="20"/>
          <w:szCs w:val="20"/>
        </w:rPr>
        <w:instrText xml:space="preserve"> HYPERLINK "http://ecfr.gpoaccess.gov/cgi/t/text/text-idx?c=ecfr;sid=33fb5e570c32cfe9c11c9a778f0c7545;rgn=div5;view=text;node=40%3A6.0.1.1.1;idno=40;cc=ecfr" </w:instrText>
      </w:r>
      <w:r w:rsidRPr="00F16C03">
        <w:rPr>
          <w:rFonts w:ascii="Book Antiqua" w:eastAsia="Times New Roman" w:hAnsi="Book Antiqua" w:cs="Arial"/>
          <w:sz w:val="20"/>
          <w:szCs w:val="20"/>
        </w:rPr>
        <w:fldChar w:fldCharType="separate"/>
      </w:r>
      <w:r w:rsidRPr="00F16C03">
        <w:rPr>
          <w:rFonts w:ascii="Book Antiqua" w:eastAsia="Times New Roman" w:hAnsi="Book Antiqua" w:cs="Arial"/>
          <w:color w:val="0000FF"/>
          <w:sz w:val="20"/>
          <w:szCs w:val="20"/>
          <w:u w:val="single"/>
        </w:rPr>
        <w:t>PART 60—STANDARDS OF PERFORMANCE FOR NEW STATIONARY SOURCES</w:t>
      </w:r>
      <w:r w:rsidRPr="00F16C03">
        <w:rPr>
          <w:rFonts w:ascii="Book Antiqua" w:eastAsia="Times New Roman" w:hAnsi="Book Antiqua" w:cs="Arial"/>
          <w:sz w:val="20"/>
          <w:szCs w:val="20"/>
        </w:rPr>
        <w:fldChar w:fldCharType="end"/>
      </w:r>
      <w:bookmarkEnd w:id="0"/>
      <w:r w:rsidRPr="00F16C03">
        <w:rPr>
          <w:rFonts w:ascii="Book Antiqua" w:eastAsia="Times New Roman" w:hAnsi="Book Antiqua" w:cs="Arial"/>
          <w:sz w:val="20"/>
          <w:szCs w:val="20"/>
        </w:rPr>
        <w:t xml:space="preserve"> </w:t>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hyperlink r:id="rId6" w:history="1">
        <w:r w:rsidRPr="00F16C03">
          <w:rPr>
            <w:rFonts w:ascii="Book Antiqua" w:eastAsia="Times New Roman" w:hAnsi="Book Antiqua" w:cs="Arial"/>
            <w:color w:val="0000FF"/>
            <w:sz w:val="20"/>
            <w:szCs w:val="20"/>
            <w:u w:val="single"/>
          </w:rPr>
          <w:t>Browse Previous</w:t>
        </w:r>
      </w:hyperlink>
      <w:r w:rsidRPr="00F16C03">
        <w:rPr>
          <w:rFonts w:ascii="Book Antiqua" w:eastAsia="Times New Roman" w:hAnsi="Book Antiqua" w:cs="Arial"/>
          <w:sz w:val="20"/>
          <w:szCs w:val="20"/>
        </w:rPr>
        <w:t> | </w:t>
      </w:r>
      <w:hyperlink r:id="rId7" w:history="1">
        <w:r w:rsidRPr="00F16C03">
          <w:rPr>
            <w:rFonts w:ascii="Book Antiqua" w:eastAsia="Times New Roman" w:hAnsi="Book Antiqua" w:cs="Arial"/>
            <w:color w:val="0000FF"/>
            <w:sz w:val="20"/>
            <w:szCs w:val="20"/>
            <w:u w:val="single"/>
          </w:rPr>
          <w:t>Browse Next</w:t>
        </w:r>
      </w:hyperlink>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r w:rsidRPr="00F16C03">
        <w:rPr>
          <w:rFonts w:ascii="Book Antiqua" w:eastAsia="Times New Roman" w:hAnsi="Book Antiqua" w:cs="Arial"/>
          <w:b/>
          <w:bCs/>
          <w:sz w:val="20"/>
          <w:szCs w:val="20"/>
        </w:rPr>
        <w:t>Subpart Db—Standards of Performance for Industrial-Commercial-Institutional Steam Generating Units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b/>
          <w:bCs/>
          <w:sz w:val="20"/>
          <w:szCs w:val="20"/>
        </w:rPr>
        <w:t>Source:</w:t>
      </w:r>
      <w:r w:rsidRPr="00F16C03">
        <w:rPr>
          <w:rFonts w:ascii="Book Antiqua" w:eastAsia="Times New Roman" w:hAnsi="Book Antiqua" w:cs="Arial"/>
          <w:sz w:val="20"/>
          <w:szCs w:val="20"/>
        </w:rPr>
        <w:t xml:space="preserve">   72 FR 32742, June 13, 2007, unless otherwise noted. </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60.40b   Applicability and delegation of authority.</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The affected facility to which this subpart applies is each steam generating unit that commences construction, modification, or reconstruction after June 19, 1984, and that has a heat input capacity from fuels combusted in the steam generating unit of greater than 29 megawatts (MW) (100 million British thermal units per hour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Any affected facility meeting the applicability requirements under paragraph (a) of this section and commencing construction, modification, or reconstruction after June 19, 1984, but on or before June 19, 1986, is subject to the following standards: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Coal-fired affected facilities having a heat input capacity between 29 and 73 MW (100 and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inclusive, are subject to the particulate matter (PM) and nitrogen oxides (NO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 standards under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Coal-fired affected facilities having a heat input capacity greater than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/hr) and meeting the applicability requirements under subpart D (Standards of performance for fossil-fuel-fired steam generators; §60.40) are subject to the PM and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under this subpart and to the sulfur dioxide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standards under subpart D (§60.43).</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Oil-fired affected facilities having a heat input capacity between 29 and 73 MW (100 and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/hr), inclusive, are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under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Oil-fired affected facilities having a heat input capacity greater than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/hr) and meeting the applicability requirements under subpart D (Standards of performance for fossil-fuel-fired steam generators; §60.40) are also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under this subpart and the PM and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standards under subpart D (§60.42 and §60.43).</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(c) Affected facilities that also meet the applicability requirements under subpart J (Standards of performance for petroleum refineries; §60.104) are subject to the PM and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under this subpart and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standards under subpart J (§60.104).</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(d) Affected facilities that also meet the applicability requirements under subpart E (Standards of performance for incinerators; §60.50) are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and</w:t>
      </w:r>
      <w:proofErr w:type="spellEnd"/>
      <w:r w:rsidRPr="00F16C03">
        <w:rPr>
          <w:rFonts w:ascii="Book Antiqua" w:eastAsia="Times New Roman" w:hAnsi="Book Antiqua" w:cs="Arial"/>
          <w:sz w:val="20"/>
          <w:szCs w:val="20"/>
        </w:rPr>
        <w:t xml:space="preserve"> PM standards under this subpart.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(e) Steam generating units meeting the applicability requirements under subpart </w:t>
      </w:r>
      <w:proofErr w:type="spellStart"/>
      <w:r w:rsidRPr="00F16C03">
        <w:rPr>
          <w:rFonts w:ascii="Book Antiqua" w:eastAsia="Times New Roman" w:hAnsi="Book Antiqua" w:cs="Arial"/>
          <w:sz w:val="20"/>
          <w:szCs w:val="20"/>
        </w:rPr>
        <w:t>Da</w:t>
      </w:r>
      <w:proofErr w:type="spellEnd"/>
      <w:r w:rsidRPr="00F16C03">
        <w:rPr>
          <w:rFonts w:ascii="Book Antiqua" w:eastAsia="Times New Roman" w:hAnsi="Book Antiqua" w:cs="Arial"/>
          <w:sz w:val="20"/>
          <w:szCs w:val="20"/>
        </w:rPr>
        <w:t xml:space="preserve"> (Standards of performance for electric utility steam generating units; §60.40Da) are not subject to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 Any change to an existing steam generating unit for the sole purpose of combusting gases containing total reduced sulfur (TRS) as defined under §60.281 is not considered a modification under §60.14 and the steam generating unit is not subject to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(g) In delegating implementation and enforcement authority to a State under section 111(c) of the Clean Air Act, the following authorities shall be retained by the Administrator and not transferred to a State.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Section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f).</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Section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g).</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Section </w:t>
      </w:r>
      <w:proofErr w:type="gramStart"/>
      <w:r w:rsidRPr="00F16C03">
        <w:rPr>
          <w:rFonts w:ascii="Book Antiqua" w:eastAsia="Times New Roman" w:hAnsi="Book Antiqua" w:cs="Arial"/>
          <w:sz w:val="20"/>
          <w:szCs w:val="20"/>
        </w:rPr>
        <w:t>60.49b(</w:t>
      </w:r>
      <w:proofErr w:type="gramEnd"/>
      <w:r w:rsidRPr="00F16C03">
        <w:rPr>
          <w:rFonts w:ascii="Book Antiqua" w:eastAsia="Times New Roman" w:hAnsi="Book Antiqua" w:cs="Arial"/>
          <w:sz w:val="20"/>
          <w:szCs w:val="20"/>
        </w:rPr>
        <w:t>a)(4).</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(h) Any affected facility that meets the applicability requirements and is subject to subpart Ea, subpart </w:t>
      </w:r>
      <w:proofErr w:type="spellStart"/>
      <w:r w:rsidRPr="00F16C03">
        <w:rPr>
          <w:rFonts w:ascii="Book Antiqua" w:eastAsia="Times New Roman" w:hAnsi="Book Antiqua" w:cs="Arial"/>
          <w:sz w:val="20"/>
          <w:szCs w:val="20"/>
        </w:rPr>
        <w:t>Eb</w:t>
      </w:r>
      <w:proofErr w:type="spellEnd"/>
      <w:r w:rsidRPr="00F16C03">
        <w:rPr>
          <w:rFonts w:ascii="Book Antiqua" w:eastAsia="Times New Roman" w:hAnsi="Book Antiqua" w:cs="Arial"/>
          <w:sz w:val="20"/>
          <w:szCs w:val="20"/>
        </w:rPr>
        <w:t>, or subpart AAAA of this part is not covered by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Heat recovery steam generators that are associated with combined cycle gas turbines and that meet the applicability requirements of subpart KKKK of this part are not subject to this subpart. This subpart will continue to apply to all other heat recovery steam generators that are capable of combusting more than 29 MW (100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heat input of fossil fuel. If the heat recovery steam generator is subject to this subpart, only emissions resulting from combustion of fuels in the steam generating unit are subject to this subpart. (The gas turbine emissions are subject to subpart GG or KKKK, as applicable,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(j) Any affected facility meeting the applicability requirements under paragraph (a) of this section and commencing construction, modification, or reconstruction after June 19, 1986 is not subject to subpart D (Standards of Performance for Fossil-Fuel-Fired Steam Generators, §60.40).</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(k) Any affected facility that meets the applicability requirements and is subject to an EPA approved State or Federal section 111(d)/129 plan implementing subpart </w:t>
      </w:r>
      <w:proofErr w:type="spellStart"/>
      <w:r w:rsidRPr="00F16C03">
        <w:rPr>
          <w:rFonts w:ascii="Book Antiqua" w:eastAsia="Times New Roman" w:hAnsi="Book Antiqua" w:cs="Arial"/>
          <w:sz w:val="20"/>
          <w:szCs w:val="20"/>
        </w:rPr>
        <w:t>Cb</w:t>
      </w:r>
      <w:proofErr w:type="spellEnd"/>
      <w:r w:rsidRPr="00F16C03">
        <w:rPr>
          <w:rFonts w:ascii="Book Antiqua" w:eastAsia="Times New Roman" w:hAnsi="Book Antiqua" w:cs="Arial"/>
          <w:sz w:val="20"/>
          <w:szCs w:val="20"/>
        </w:rPr>
        <w:t xml:space="preserve"> or subpart BBBB of this part is not covered by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5084, Jan. 28, 2009]</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60.41b   Definitions.</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As used in this subpart, all terms not defined herein shall have the meaning given them in the Clean Air Act and in subpart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Annual capacity factor </w:t>
      </w:r>
      <w:r w:rsidRPr="00F16C03">
        <w:rPr>
          <w:rFonts w:ascii="Book Antiqua" w:eastAsia="Times New Roman" w:hAnsi="Book Antiqua" w:cs="Arial"/>
          <w:sz w:val="20"/>
          <w:szCs w:val="20"/>
        </w:rPr>
        <w:t>means the ratio between the actual heat input to a steam generating unit from the fuels listed in §</w:t>
      </w:r>
      <w:proofErr w:type="gramStart"/>
      <w:r w:rsidRPr="00F16C03">
        <w:rPr>
          <w:rFonts w:ascii="Book Antiqua" w:eastAsia="Times New Roman" w:hAnsi="Book Antiqua" w:cs="Arial"/>
          <w:sz w:val="20"/>
          <w:szCs w:val="20"/>
        </w:rPr>
        <w:t>60.42b(</w:t>
      </w:r>
      <w:proofErr w:type="gramEnd"/>
      <w:r w:rsidRPr="00F16C03">
        <w:rPr>
          <w:rFonts w:ascii="Book Antiqua" w:eastAsia="Times New Roman" w:hAnsi="Book Antiqua" w:cs="Arial"/>
          <w:sz w:val="20"/>
          <w:szCs w:val="20"/>
        </w:rPr>
        <w:t>a), §60.43b(a), or §60.44b(a), as applicable, during a calendar year and the potential heat input to the steam generating unit had it been operated for 8,760 hours during a calendar year at the maximum steady state design heat input capacity. In the case of steam generating units that are rented or leased, the actual heat input shall be determined based on the combined heat input from all operations of the affected facility in a calendar year.</w:t>
      </w:r>
    </w:p>
    <w:p w:rsidR="00F16C03" w:rsidRDefault="00F16C0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Byproduct/waste </w:t>
      </w:r>
      <w:r w:rsidRPr="00F16C03">
        <w:rPr>
          <w:rFonts w:ascii="Book Antiqua" w:eastAsia="Times New Roman" w:hAnsi="Book Antiqua" w:cs="Arial"/>
          <w:sz w:val="20"/>
          <w:szCs w:val="20"/>
        </w:rPr>
        <w:t>means any liquid or gaseous substance produced at chemical manufacturing plants, petroleum refineries, or pulp and paper mills (except natural gas, distillate oil, or residual oil) and combusted in a steam generating unit for heat recovery or for disposal. Gaseous substances with carbon dioxide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levels greater than 50 percent or carbon monoxide levels greater than 10 percent are not byproduct/waste for the purpose of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Chemical manufacturing plants </w:t>
      </w:r>
      <w:r w:rsidRPr="00F16C03">
        <w:rPr>
          <w:rFonts w:ascii="Book Antiqua" w:eastAsia="Times New Roman" w:hAnsi="Book Antiqua" w:cs="Arial"/>
          <w:sz w:val="20"/>
          <w:szCs w:val="20"/>
        </w:rPr>
        <w:t>mean industrial plants that are classified by the Department of Commerce under Standard Industrial Classification (SIC) Code 28.</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Coal </w:t>
      </w:r>
      <w:r w:rsidRPr="00F16C03">
        <w:rPr>
          <w:rFonts w:ascii="Book Antiqua" w:eastAsia="Times New Roman" w:hAnsi="Book Antiqua" w:cs="Arial"/>
          <w:sz w:val="20"/>
          <w:szCs w:val="20"/>
        </w:rPr>
        <w:t xml:space="preserve">means all solid fuels classified as anthracite, bituminous, </w:t>
      </w:r>
      <w:proofErr w:type="spellStart"/>
      <w:r w:rsidRPr="00F16C03">
        <w:rPr>
          <w:rFonts w:ascii="Book Antiqua" w:eastAsia="Times New Roman" w:hAnsi="Book Antiqua" w:cs="Arial"/>
          <w:sz w:val="20"/>
          <w:szCs w:val="20"/>
        </w:rPr>
        <w:t>subbituminous</w:t>
      </w:r>
      <w:proofErr w:type="spellEnd"/>
      <w:r w:rsidRPr="00F16C03">
        <w:rPr>
          <w:rFonts w:ascii="Book Antiqua" w:eastAsia="Times New Roman" w:hAnsi="Book Antiqua" w:cs="Arial"/>
          <w:sz w:val="20"/>
          <w:szCs w:val="20"/>
        </w:rPr>
        <w:t>, or lignite by the American Society of Testing and Materials in ASTM D388 (incorporated by reference, see §60.17), coal refuse, and petroleum coke. Coal-derived synthetic fuels, including but not limited to solvent refined coal, gasified coal not meeting the definition of natural gas, coal-oil mixtures, coke oven gas, and coal-water mixtures, are also included in this definition for the purposes of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Coal refuse </w:t>
      </w:r>
      <w:r w:rsidRPr="00F16C03">
        <w:rPr>
          <w:rFonts w:ascii="Book Antiqua" w:eastAsia="Times New Roman" w:hAnsi="Book Antiqua" w:cs="Arial"/>
          <w:sz w:val="20"/>
          <w:szCs w:val="20"/>
        </w:rPr>
        <w:t>means any byproduct of coal mining or coal cleaning operations with an ash content greater than 50 percent, by weight, and a heating value less than 13,900 kJ/kg (6,000 Btu/lb) on a dry basis.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gramStart"/>
      <w:r w:rsidRPr="00F16C03">
        <w:rPr>
          <w:rFonts w:ascii="Book Antiqua" w:eastAsia="Times New Roman" w:hAnsi="Book Antiqua" w:cs="Arial"/>
          <w:i/>
          <w:iCs/>
          <w:sz w:val="20"/>
          <w:szCs w:val="20"/>
        </w:rPr>
        <w:t xml:space="preserve">Cogeneration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also known as combined heat and power, means a facility that simultaneously produces both electric (or mechanical) and useful thermal energy from the same primary energy source.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Coke oven gas </w:t>
      </w:r>
      <w:r w:rsidRPr="00F16C03">
        <w:rPr>
          <w:rFonts w:ascii="Book Antiqua" w:eastAsia="Times New Roman" w:hAnsi="Book Antiqua" w:cs="Arial"/>
          <w:sz w:val="20"/>
          <w:szCs w:val="20"/>
        </w:rPr>
        <w:t>means the volatile constituents generated in the gaseous exhaust during the carbonization of bituminous coal to form coke.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Combined cycle system </w:t>
      </w:r>
      <w:r w:rsidRPr="00F16C03">
        <w:rPr>
          <w:rFonts w:ascii="Book Antiqua" w:eastAsia="Times New Roman" w:hAnsi="Book Antiqua" w:cs="Arial"/>
          <w:sz w:val="20"/>
          <w:szCs w:val="20"/>
        </w:rPr>
        <w:t>means a system in which a separate source, such as a gas turbine, internal combustion engine, kiln, etc., provides exhaust gas to a steam generating unit.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Conventional technology </w:t>
      </w:r>
      <w:r w:rsidRPr="00F16C03">
        <w:rPr>
          <w:rFonts w:ascii="Book Antiqua" w:eastAsia="Times New Roman" w:hAnsi="Book Antiqua" w:cs="Arial"/>
          <w:sz w:val="20"/>
          <w:szCs w:val="20"/>
        </w:rPr>
        <w:t xml:space="preserve">means wet flue gas desulfurization (FGD) technology, dry FGD technology, atmospheric fluidized bed combustion technology, and oil </w:t>
      </w:r>
      <w:proofErr w:type="spellStart"/>
      <w:r w:rsidRPr="00F16C03">
        <w:rPr>
          <w:rFonts w:ascii="Book Antiqua" w:eastAsia="Times New Roman" w:hAnsi="Book Antiqua" w:cs="Arial"/>
          <w:sz w:val="20"/>
          <w:szCs w:val="20"/>
        </w:rPr>
        <w:t>hydrodesulfurization</w:t>
      </w:r>
      <w:proofErr w:type="spellEnd"/>
      <w:r w:rsidRPr="00F16C03">
        <w:rPr>
          <w:rFonts w:ascii="Book Antiqua" w:eastAsia="Times New Roman" w:hAnsi="Book Antiqua" w:cs="Arial"/>
          <w:sz w:val="20"/>
          <w:szCs w:val="20"/>
        </w:rPr>
        <w:t xml:space="preserve"> technology.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Distillate oil </w:t>
      </w:r>
      <w:r w:rsidRPr="00F16C03">
        <w:rPr>
          <w:rFonts w:ascii="Book Antiqua" w:eastAsia="Times New Roman" w:hAnsi="Book Antiqua" w:cs="Arial"/>
          <w:sz w:val="20"/>
          <w:szCs w:val="20"/>
        </w:rPr>
        <w:t>means fuel oils that contain 0.05 weight percent nitrogen or less and comply with the specifications for fuel oil numbers 1 and 2, as defined by the American Society of Testing and Materials in ASTM D396 (incorporated by reference, see §60.17) or diesel fuel oil numbers 1 and 2, as defined by the American Society for Testing and Materials in ASTM D975 (incorporated by reference, see §60.17).</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Dry flue gas desulfurization technology </w:t>
      </w:r>
      <w:r w:rsidRPr="00F16C03">
        <w:rPr>
          <w:rFonts w:ascii="Book Antiqua" w:eastAsia="Times New Roman" w:hAnsi="Book Antiqua" w:cs="Arial"/>
          <w:sz w:val="20"/>
          <w:szCs w:val="20"/>
        </w:rPr>
        <w:t>means a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 that is located downstream of the steam generating unit and removes sulfur oxides from the combustion gases of the steam generating unit by contacting the combustion gases with an alkaline reagent and water, whether introduced separately or as a premixed slurry or solution and forming a dry powder material. This definition includes devices where the dry powder material is subsequently converted to another form. Alkaline slurries or solutions used in dry flue gas desulfurization technology include but are not limited to lime and sodium.</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Duct burner </w:t>
      </w:r>
      <w:r w:rsidRPr="00F16C03">
        <w:rPr>
          <w:rFonts w:ascii="Book Antiqua" w:eastAsia="Times New Roman" w:hAnsi="Book Antiqua" w:cs="Arial"/>
          <w:sz w:val="20"/>
          <w:szCs w:val="20"/>
        </w:rPr>
        <w:t>means a device that combusts fuel and that is placed in the exhaust duct from another source, such as a stationary gas turbine, internal combustion engine, kiln, etc., to allow the firing of additional fuel to heat the exhaust gases before the exhaust gases enter a steam generating unit.</w:t>
      </w:r>
    </w:p>
    <w:p w:rsidR="00F16C03" w:rsidRDefault="00F16C0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Emerging technology </w:t>
      </w:r>
      <w:r w:rsidRPr="00F16C03">
        <w:rPr>
          <w:rFonts w:ascii="Book Antiqua" w:eastAsia="Times New Roman" w:hAnsi="Book Antiqua" w:cs="Arial"/>
          <w:sz w:val="20"/>
          <w:szCs w:val="20"/>
        </w:rPr>
        <w:t>means any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 that is not defined as a conventional technology under this section, and for which the owner or operator of the facility has applied to the Administrator and received approval to operate as an emerging technology under §</w:t>
      </w:r>
      <w:proofErr w:type="gramStart"/>
      <w:r w:rsidRPr="00F16C03">
        <w:rPr>
          <w:rFonts w:ascii="Book Antiqua" w:eastAsia="Times New Roman" w:hAnsi="Book Antiqua" w:cs="Arial"/>
          <w:sz w:val="20"/>
          <w:szCs w:val="20"/>
        </w:rPr>
        <w:t>60.49b(</w:t>
      </w:r>
      <w:proofErr w:type="gramEnd"/>
      <w:r w:rsidRPr="00F16C03">
        <w:rPr>
          <w:rFonts w:ascii="Book Antiqua" w:eastAsia="Times New Roman" w:hAnsi="Book Antiqua" w:cs="Arial"/>
          <w:sz w:val="20"/>
          <w:szCs w:val="20"/>
        </w:rPr>
        <w:t>a)(4).</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Federally enforceable </w:t>
      </w:r>
      <w:r w:rsidRPr="00F16C03">
        <w:rPr>
          <w:rFonts w:ascii="Book Antiqua" w:eastAsia="Times New Roman" w:hAnsi="Book Antiqua" w:cs="Arial"/>
          <w:sz w:val="20"/>
          <w:szCs w:val="20"/>
        </w:rPr>
        <w:t>means all limitations and conditions that are enforceable by the Administrator, including the requirements of 40 CFR parts 60 and 61, requirements within any applicable State Implementation Plan, and any permit requirements established under 40 CFR 52.21 or under 40 CFR 51.18 and 51.24.</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Fluidized bed combustion technology </w:t>
      </w:r>
      <w:r w:rsidRPr="00F16C03">
        <w:rPr>
          <w:rFonts w:ascii="Book Antiqua" w:eastAsia="Times New Roman" w:hAnsi="Book Antiqua" w:cs="Arial"/>
          <w:sz w:val="20"/>
          <w:szCs w:val="20"/>
        </w:rPr>
        <w:t>means combustion of fuel in a bed or series of beds (including but not limited to bubbling bed units and circulating bed units) of limestone aggregate (or other sorbent materials) in which these materials are forced upward by the flow of combustion air and the gaseous products of combustion.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Fuel pretreatment </w:t>
      </w:r>
      <w:r w:rsidRPr="00F16C03">
        <w:rPr>
          <w:rFonts w:ascii="Book Antiqua" w:eastAsia="Times New Roman" w:hAnsi="Book Antiqua" w:cs="Arial"/>
          <w:sz w:val="20"/>
          <w:szCs w:val="20"/>
        </w:rPr>
        <w:t>means a process that removes a portion of the sulfur in a fuel before combustion of the fuel in a steam generating unit.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Full capacity </w:t>
      </w:r>
      <w:r w:rsidRPr="00F16C03">
        <w:rPr>
          <w:rFonts w:ascii="Book Antiqua" w:eastAsia="Times New Roman" w:hAnsi="Book Antiqua" w:cs="Arial"/>
          <w:sz w:val="20"/>
          <w:szCs w:val="20"/>
        </w:rPr>
        <w:t>means operation of the steam generating unit at 90 percent or more of the maximum steady-state design heat input capacity.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Gaseous fuel </w:t>
      </w:r>
      <w:r w:rsidRPr="00F16C03">
        <w:rPr>
          <w:rFonts w:ascii="Book Antiqua" w:eastAsia="Times New Roman" w:hAnsi="Book Antiqua" w:cs="Arial"/>
          <w:sz w:val="20"/>
          <w:szCs w:val="20"/>
        </w:rPr>
        <w:t>means any fuel that is a gas at ISO conditions. This includes, but is not limited to, natural gas and gasified coal (including coke oven gas).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Gross output </w:t>
      </w:r>
      <w:r w:rsidRPr="00F16C03">
        <w:rPr>
          <w:rFonts w:ascii="Book Antiqua" w:eastAsia="Times New Roman" w:hAnsi="Book Antiqua" w:cs="Arial"/>
          <w:sz w:val="20"/>
          <w:szCs w:val="20"/>
        </w:rPr>
        <w:t xml:space="preserve">means the gross useful work performed by the steam generated. For units generating only electricity, the gross useful work performed is the gross electrical output from the turbine/generator set. For cogeneration units, the gross useful work performed is the gross electrical or mechanical output plus 75 percent of the useful thermal output measured relative to ISO conditions that is not used to generate additional electrical or mechanical output or to enhance the performance of the unit </w:t>
      </w:r>
      <w:proofErr w:type="gramStart"/>
      <w:r w:rsidRPr="00F16C03">
        <w:rPr>
          <w:rFonts w:ascii="Book Antiqua" w:eastAsia="Times New Roman" w:hAnsi="Book Antiqua" w:cs="Arial"/>
          <w:sz w:val="20"/>
          <w:szCs w:val="20"/>
        </w:rPr>
        <w:t xml:space="preserve">( </w:t>
      </w:r>
      <w:r w:rsidRPr="00F16C03">
        <w:rPr>
          <w:rFonts w:ascii="Book Antiqua" w:eastAsia="Times New Roman" w:hAnsi="Book Antiqua" w:cs="Arial"/>
          <w:i/>
          <w:iCs/>
          <w:sz w:val="20"/>
          <w:szCs w:val="20"/>
        </w:rPr>
        <w:t>i.e</w:t>
      </w:r>
      <w:proofErr w:type="gramEnd"/>
      <w:r w:rsidRPr="00F16C03">
        <w:rPr>
          <w:rFonts w:ascii="Book Antiqua" w:eastAsia="Times New Roman" w:hAnsi="Book Antiqua" w:cs="Arial"/>
          <w:i/>
          <w:iCs/>
          <w:sz w:val="20"/>
          <w:szCs w:val="20"/>
        </w:rPr>
        <w:t xml:space="preserve">. </w:t>
      </w:r>
      <w:r w:rsidRPr="00F16C03">
        <w:rPr>
          <w:rFonts w:ascii="Book Antiqua" w:eastAsia="Times New Roman" w:hAnsi="Book Antiqua" w:cs="Arial"/>
          <w:sz w:val="20"/>
          <w:szCs w:val="20"/>
        </w:rPr>
        <w:t>, steam delivered to an industrial process).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Heat input </w:t>
      </w:r>
      <w:r w:rsidRPr="00F16C03">
        <w:rPr>
          <w:rFonts w:ascii="Book Antiqua" w:eastAsia="Times New Roman" w:hAnsi="Book Antiqua" w:cs="Arial"/>
          <w:sz w:val="20"/>
          <w:szCs w:val="20"/>
        </w:rPr>
        <w:t xml:space="preserve">means heat derived from combustion of fuel in a steam generating unit and does not include the heat derived from preheated combustion air, </w:t>
      </w:r>
      <w:proofErr w:type="spellStart"/>
      <w:r w:rsidRPr="00F16C03">
        <w:rPr>
          <w:rFonts w:ascii="Book Antiqua" w:eastAsia="Times New Roman" w:hAnsi="Book Antiqua" w:cs="Arial"/>
          <w:sz w:val="20"/>
          <w:szCs w:val="20"/>
        </w:rPr>
        <w:t>recirculated</w:t>
      </w:r>
      <w:proofErr w:type="spellEnd"/>
      <w:r w:rsidRPr="00F16C03">
        <w:rPr>
          <w:rFonts w:ascii="Book Antiqua" w:eastAsia="Times New Roman" w:hAnsi="Book Antiqua" w:cs="Arial"/>
          <w:sz w:val="20"/>
          <w:szCs w:val="20"/>
        </w:rPr>
        <w:t xml:space="preserve"> flue gases, or exhaust gases from other sources, such as gas turbines, internal combustion engines, kilns, etc.</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Heat release rate </w:t>
      </w:r>
      <w:r w:rsidRPr="00F16C03">
        <w:rPr>
          <w:rFonts w:ascii="Book Antiqua" w:eastAsia="Times New Roman" w:hAnsi="Book Antiqua" w:cs="Arial"/>
          <w:sz w:val="20"/>
          <w:szCs w:val="20"/>
        </w:rPr>
        <w:t xml:space="preserve">means the steam generating unit design heat input capacity (in MW or Btu/hr) divided by the furnace volume (in cubic meters or cubic feet); the furnace volume is that volume bounded by the front furnace wall where the burner is located, the furnace side </w:t>
      </w:r>
      <w:proofErr w:type="spellStart"/>
      <w:r w:rsidRPr="00F16C03">
        <w:rPr>
          <w:rFonts w:ascii="Book Antiqua" w:eastAsia="Times New Roman" w:hAnsi="Book Antiqua" w:cs="Arial"/>
          <w:sz w:val="20"/>
          <w:szCs w:val="20"/>
        </w:rPr>
        <w:t>waterwall</w:t>
      </w:r>
      <w:proofErr w:type="spellEnd"/>
      <w:r w:rsidRPr="00F16C03">
        <w:rPr>
          <w:rFonts w:ascii="Book Antiqua" w:eastAsia="Times New Roman" w:hAnsi="Book Antiqua" w:cs="Arial"/>
          <w:sz w:val="20"/>
          <w:szCs w:val="20"/>
        </w:rPr>
        <w:t>, and extending to the level just below or in front of the first row of convection pass tubes.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Heat transfer medium </w:t>
      </w:r>
      <w:r w:rsidRPr="00F16C03">
        <w:rPr>
          <w:rFonts w:ascii="Book Antiqua" w:eastAsia="Times New Roman" w:hAnsi="Book Antiqua" w:cs="Arial"/>
          <w:sz w:val="20"/>
          <w:szCs w:val="20"/>
        </w:rPr>
        <w:t>means any material that is used to transfer heat from one point to another point.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High heat release rate </w:t>
      </w:r>
      <w:r w:rsidRPr="00F16C03">
        <w:rPr>
          <w:rFonts w:ascii="Book Antiqua" w:eastAsia="Times New Roman" w:hAnsi="Book Antiqua" w:cs="Arial"/>
          <w:sz w:val="20"/>
          <w:szCs w:val="20"/>
        </w:rPr>
        <w:t>means a heat release rate greater than 730,000 J/sec-m</w:t>
      </w:r>
      <w:r w:rsidRPr="00F16C03">
        <w:rPr>
          <w:rFonts w:ascii="Book Antiqua" w:eastAsia="Times New Roman" w:hAnsi="Book Antiqua" w:cs="Arial"/>
          <w:sz w:val="20"/>
          <w:szCs w:val="20"/>
          <w:vertAlign w:val="superscript"/>
        </w:rPr>
        <w:t>3</w:t>
      </w:r>
      <w:r w:rsidRPr="00F16C03">
        <w:rPr>
          <w:rFonts w:ascii="Book Antiqua" w:eastAsia="Times New Roman" w:hAnsi="Book Antiqua" w:cs="Arial"/>
          <w:sz w:val="20"/>
          <w:szCs w:val="20"/>
        </w:rPr>
        <w:t xml:space="preserve"> (70,000 Btu/hr-</w:t>
      </w:r>
      <w:proofErr w:type="gramStart"/>
      <w:r w:rsidRPr="00F16C03">
        <w:rPr>
          <w:rFonts w:ascii="Book Antiqua" w:eastAsia="Times New Roman" w:hAnsi="Book Antiqua" w:cs="Arial"/>
          <w:sz w:val="20"/>
          <w:szCs w:val="20"/>
        </w:rPr>
        <w:t>ft</w:t>
      </w:r>
      <w:r w:rsidRPr="00F16C03">
        <w:rPr>
          <w:rFonts w:ascii="Book Antiqua" w:eastAsia="Times New Roman" w:hAnsi="Book Antiqua" w:cs="Arial"/>
          <w:sz w:val="20"/>
          <w:szCs w:val="20"/>
          <w:vertAlign w:val="superscript"/>
        </w:rPr>
        <w:t>3</w:t>
      </w:r>
      <w:r w:rsidRPr="00F16C03">
        <w:rPr>
          <w:rFonts w:ascii="Book Antiqua" w:eastAsia="Times New Roman" w:hAnsi="Book Antiqua" w:cs="Arial"/>
          <w:sz w:val="20"/>
          <w:szCs w:val="20"/>
        </w:rPr>
        <w:t xml:space="preserve"> )</w:t>
      </w:r>
      <w:proofErr w:type="gram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ISO Conditions </w:t>
      </w:r>
      <w:r w:rsidRPr="00F16C03">
        <w:rPr>
          <w:rFonts w:ascii="Book Antiqua" w:eastAsia="Times New Roman" w:hAnsi="Book Antiqua" w:cs="Arial"/>
          <w:sz w:val="20"/>
          <w:szCs w:val="20"/>
        </w:rPr>
        <w:t>means a temperature of 288 Kelvin, a relative humidity of 60 percent, and a pressure of 101.3 kilopascals.</w:t>
      </w:r>
    </w:p>
    <w:p w:rsidR="00F16C03" w:rsidRDefault="00F16C0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Lignite </w:t>
      </w:r>
      <w:r w:rsidRPr="00F16C03">
        <w:rPr>
          <w:rFonts w:ascii="Book Antiqua" w:eastAsia="Times New Roman" w:hAnsi="Book Antiqua" w:cs="Arial"/>
          <w:sz w:val="20"/>
          <w:szCs w:val="20"/>
        </w:rPr>
        <w:t>means a type of coal classified as lignite A or lignite B by the American Society of Testing and Materials in ASTM D388 (incorporated by reference, see §60.17).</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Low heat release rate </w:t>
      </w:r>
      <w:r w:rsidRPr="00F16C03">
        <w:rPr>
          <w:rFonts w:ascii="Book Antiqua" w:eastAsia="Times New Roman" w:hAnsi="Book Antiqua" w:cs="Arial"/>
          <w:sz w:val="20"/>
          <w:szCs w:val="20"/>
        </w:rPr>
        <w:t>means a heat release rate of 730,000 J/sec-m</w:t>
      </w:r>
      <w:r w:rsidRPr="00F16C03">
        <w:rPr>
          <w:rFonts w:ascii="Book Antiqua" w:eastAsia="Times New Roman" w:hAnsi="Book Antiqua" w:cs="Arial"/>
          <w:sz w:val="20"/>
          <w:szCs w:val="20"/>
          <w:vertAlign w:val="superscript"/>
        </w:rPr>
        <w:t>3</w:t>
      </w:r>
      <w:r w:rsidRPr="00F16C03">
        <w:rPr>
          <w:rFonts w:ascii="Book Antiqua" w:eastAsia="Times New Roman" w:hAnsi="Book Antiqua" w:cs="Arial"/>
          <w:sz w:val="20"/>
          <w:szCs w:val="20"/>
        </w:rPr>
        <w:t xml:space="preserve"> (70,000 Btu/hr-</w:t>
      </w:r>
      <w:proofErr w:type="gramStart"/>
      <w:r w:rsidRPr="00F16C03">
        <w:rPr>
          <w:rFonts w:ascii="Book Antiqua" w:eastAsia="Times New Roman" w:hAnsi="Book Antiqua" w:cs="Arial"/>
          <w:sz w:val="20"/>
          <w:szCs w:val="20"/>
        </w:rPr>
        <w:t>ft</w:t>
      </w:r>
      <w:r w:rsidRPr="00F16C03">
        <w:rPr>
          <w:rFonts w:ascii="Book Antiqua" w:eastAsia="Times New Roman" w:hAnsi="Book Antiqua" w:cs="Arial"/>
          <w:sz w:val="20"/>
          <w:szCs w:val="20"/>
          <w:vertAlign w:val="superscript"/>
        </w:rPr>
        <w:t>3</w:t>
      </w:r>
      <w:r w:rsidRPr="00F16C03">
        <w:rPr>
          <w:rFonts w:ascii="Book Antiqua" w:eastAsia="Times New Roman" w:hAnsi="Book Antiqua" w:cs="Arial"/>
          <w:sz w:val="20"/>
          <w:szCs w:val="20"/>
        </w:rPr>
        <w:t xml:space="preserve"> )</w:t>
      </w:r>
      <w:proofErr w:type="gramEnd"/>
      <w:r w:rsidRPr="00F16C03">
        <w:rPr>
          <w:rFonts w:ascii="Book Antiqua" w:eastAsia="Times New Roman" w:hAnsi="Book Antiqua" w:cs="Arial"/>
          <w:sz w:val="20"/>
          <w:szCs w:val="20"/>
        </w:rPr>
        <w:t xml:space="preserve">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Mass-feed stoker steam generating unit </w:t>
      </w:r>
      <w:r w:rsidRPr="00F16C03">
        <w:rPr>
          <w:rFonts w:ascii="Book Antiqua" w:eastAsia="Times New Roman" w:hAnsi="Book Antiqua" w:cs="Arial"/>
          <w:sz w:val="20"/>
          <w:szCs w:val="20"/>
        </w:rPr>
        <w:t xml:space="preserve">means a steam generating unit where solid fuel is introduced directly into a retort or is fed directly onto a </w:t>
      </w:r>
      <w:proofErr w:type="spellStart"/>
      <w:r w:rsidRPr="00F16C03">
        <w:rPr>
          <w:rFonts w:ascii="Book Antiqua" w:eastAsia="Times New Roman" w:hAnsi="Book Antiqua" w:cs="Arial"/>
          <w:sz w:val="20"/>
          <w:szCs w:val="20"/>
        </w:rPr>
        <w:t>grate</w:t>
      </w:r>
      <w:proofErr w:type="spellEnd"/>
      <w:r w:rsidRPr="00F16C03">
        <w:rPr>
          <w:rFonts w:ascii="Book Antiqua" w:eastAsia="Times New Roman" w:hAnsi="Book Antiqua" w:cs="Arial"/>
          <w:sz w:val="20"/>
          <w:szCs w:val="20"/>
        </w:rPr>
        <w:t xml:space="preserve"> where it is combusted.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Maximum heat input capacity </w:t>
      </w:r>
      <w:r w:rsidRPr="00F16C03">
        <w:rPr>
          <w:rFonts w:ascii="Book Antiqua" w:eastAsia="Times New Roman" w:hAnsi="Book Antiqua" w:cs="Arial"/>
          <w:sz w:val="20"/>
          <w:szCs w:val="20"/>
        </w:rPr>
        <w:t>means the ability of a steam generating unit to combust a stated maximum amount of fuel on a steady state basis, as determined by the physical design and characteristics of the steam generating unit.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Municipal-type solid waste </w:t>
      </w:r>
      <w:r w:rsidRPr="00F16C03">
        <w:rPr>
          <w:rFonts w:ascii="Book Antiqua" w:eastAsia="Times New Roman" w:hAnsi="Book Antiqua" w:cs="Arial"/>
          <w:sz w:val="20"/>
          <w:szCs w:val="20"/>
        </w:rPr>
        <w:t>means refuse, more than 50 percent of which is waste consisting of a mixture of paper, wood, yard wastes, food wastes, plastics, leather, rubber, and other combustible materials, and noncombustible materials such as glass and rock.</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Natural gas </w:t>
      </w:r>
      <w:r w:rsidRPr="00F16C03">
        <w:rPr>
          <w:rFonts w:ascii="Book Antiqua" w:eastAsia="Times New Roman" w:hAnsi="Book Antiqua" w:cs="Arial"/>
          <w:sz w:val="20"/>
          <w:szCs w:val="20"/>
        </w:rPr>
        <w:t>means: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A naturally occurring mixture of hydrocarbon and </w:t>
      </w:r>
      <w:proofErr w:type="spellStart"/>
      <w:r w:rsidRPr="00F16C03">
        <w:rPr>
          <w:rFonts w:ascii="Book Antiqua" w:eastAsia="Times New Roman" w:hAnsi="Book Antiqua" w:cs="Arial"/>
          <w:sz w:val="20"/>
          <w:szCs w:val="20"/>
        </w:rPr>
        <w:t>nonhydrocarbon</w:t>
      </w:r>
      <w:proofErr w:type="spellEnd"/>
      <w:r w:rsidRPr="00F16C03">
        <w:rPr>
          <w:rFonts w:ascii="Book Antiqua" w:eastAsia="Times New Roman" w:hAnsi="Book Antiqua" w:cs="Arial"/>
          <w:sz w:val="20"/>
          <w:szCs w:val="20"/>
        </w:rPr>
        <w:t xml:space="preserve"> gases found in geologic formations beneath the earth's surface, of which the principal constituent is methane;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Liquefied petroleum gas, as defined by the American Society for Testing and Materials in ASTM D1835 (incorporated by reference, see §60.17);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A mixture of hydrocarbons that maintains a gaseous state at ISO conditions. Additionally, natural gas must either be composed of at least 70 percent methane by volume or have a gross calorific value between 34 and 43 </w:t>
      </w:r>
      <w:proofErr w:type="spellStart"/>
      <w:r w:rsidRPr="00F16C03">
        <w:rPr>
          <w:rFonts w:ascii="Book Antiqua" w:eastAsia="Times New Roman" w:hAnsi="Book Antiqua" w:cs="Arial"/>
          <w:sz w:val="20"/>
          <w:szCs w:val="20"/>
        </w:rPr>
        <w:t>megajoules</w:t>
      </w:r>
      <w:proofErr w:type="spellEnd"/>
      <w:r w:rsidRPr="00F16C03">
        <w:rPr>
          <w:rFonts w:ascii="Book Antiqua" w:eastAsia="Times New Roman" w:hAnsi="Book Antiqua" w:cs="Arial"/>
          <w:sz w:val="20"/>
          <w:szCs w:val="20"/>
        </w:rPr>
        <w:t xml:space="preserve"> (MJ) per dry standard cubic meter (910 and 1,150 Btu per dry standard cubic foot).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i/>
          <w:iCs/>
          <w:sz w:val="20"/>
          <w:szCs w:val="20"/>
        </w:rPr>
        <w:t>Noncontinental</w:t>
      </w:r>
      <w:proofErr w:type="spellEnd"/>
      <w:r w:rsidRPr="00F16C03">
        <w:rPr>
          <w:rFonts w:ascii="Book Antiqua" w:eastAsia="Times New Roman" w:hAnsi="Book Antiqua" w:cs="Arial"/>
          <w:i/>
          <w:iCs/>
          <w:sz w:val="20"/>
          <w:szCs w:val="20"/>
        </w:rPr>
        <w:t xml:space="preserve"> area </w:t>
      </w:r>
      <w:r w:rsidRPr="00F16C03">
        <w:rPr>
          <w:rFonts w:ascii="Book Antiqua" w:eastAsia="Times New Roman" w:hAnsi="Book Antiqua" w:cs="Arial"/>
          <w:sz w:val="20"/>
          <w:szCs w:val="20"/>
        </w:rPr>
        <w:t>means the State of Hawaii, the Virgin Islands, Guam, American Samoa, the Commonwealth of Puerto Rico, or the Northern Mariana Islands.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Oil </w:t>
      </w:r>
      <w:r w:rsidRPr="00F16C03">
        <w:rPr>
          <w:rFonts w:ascii="Book Antiqua" w:eastAsia="Times New Roman" w:hAnsi="Book Antiqua" w:cs="Arial"/>
          <w:sz w:val="20"/>
          <w:szCs w:val="20"/>
        </w:rPr>
        <w:t>means crude oil or petroleum or a liquid fuel derived from crude oil or petroleum, including distillate and residual oil.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Petroleum refinery </w:t>
      </w:r>
      <w:r w:rsidRPr="00F16C03">
        <w:rPr>
          <w:rFonts w:ascii="Book Antiqua" w:eastAsia="Times New Roman" w:hAnsi="Book Antiqua" w:cs="Arial"/>
          <w:sz w:val="20"/>
          <w:szCs w:val="20"/>
        </w:rPr>
        <w:t>means industrial plants as classified by the Department of Commerce under Standard Industrial Classification (SIC) Code 29.</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Potential sulfur dioxide emission rate </w:t>
      </w:r>
      <w:r w:rsidRPr="00F16C03">
        <w:rPr>
          <w:rFonts w:ascii="Book Antiqua" w:eastAsia="Times New Roman" w:hAnsi="Book Antiqua" w:cs="Arial"/>
          <w:sz w:val="20"/>
          <w:szCs w:val="20"/>
        </w:rPr>
        <w:t>means the theoretical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w:t>
      </w:r>
      <w:proofErr w:type="spellStart"/>
      <w:r w:rsidRPr="00F16C03">
        <w:rPr>
          <w:rFonts w:ascii="Book Antiqua" w:eastAsia="Times New Roman" w:hAnsi="Book Antiqua" w:cs="Arial"/>
          <w:sz w:val="20"/>
          <w:szCs w:val="20"/>
        </w:rPr>
        <w:t>nanograms</w:t>
      </w:r>
      <w:proofErr w:type="spellEnd"/>
      <w:r w:rsidRPr="00F16C03">
        <w:rPr>
          <w:rFonts w:ascii="Book Antiqua" w:eastAsia="Times New Roman" w:hAnsi="Book Antiqua" w:cs="Arial"/>
          <w:sz w:val="20"/>
          <w:szCs w:val="20"/>
        </w:rPr>
        <w:t xml:space="preserve"> per joule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that would result from combusting fuel in an </w:t>
      </w:r>
      <w:proofErr w:type="spellStart"/>
      <w:r w:rsidRPr="00F16C03">
        <w:rPr>
          <w:rFonts w:ascii="Book Antiqua" w:eastAsia="Times New Roman" w:hAnsi="Book Antiqua" w:cs="Arial"/>
          <w:sz w:val="20"/>
          <w:szCs w:val="20"/>
        </w:rPr>
        <w:t>uncleaned</w:t>
      </w:r>
      <w:proofErr w:type="spellEnd"/>
      <w:r w:rsidRPr="00F16C03">
        <w:rPr>
          <w:rFonts w:ascii="Book Antiqua" w:eastAsia="Times New Roman" w:hAnsi="Book Antiqua" w:cs="Arial"/>
          <w:sz w:val="20"/>
          <w:szCs w:val="20"/>
        </w:rPr>
        <w:t xml:space="preserve"> state and without using emission control systems. For gasified coal or oil that is </w:t>
      </w:r>
      <w:proofErr w:type="spellStart"/>
      <w:r w:rsidRPr="00F16C03">
        <w:rPr>
          <w:rFonts w:ascii="Book Antiqua" w:eastAsia="Times New Roman" w:hAnsi="Book Antiqua" w:cs="Arial"/>
          <w:sz w:val="20"/>
          <w:szCs w:val="20"/>
        </w:rPr>
        <w:t>desulfurized</w:t>
      </w:r>
      <w:proofErr w:type="spellEnd"/>
      <w:r w:rsidRPr="00F16C03">
        <w:rPr>
          <w:rFonts w:ascii="Book Antiqua" w:eastAsia="Times New Roman" w:hAnsi="Book Antiqua" w:cs="Arial"/>
          <w:sz w:val="20"/>
          <w:szCs w:val="20"/>
        </w:rPr>
        <w:t xml:space="preserve"> prior to combustion, the </w:t>
      </w:r>
      <w:r w:rsidRPr="00F16C03">
        <w:rPr>
          <w:rFonts w:ascii="Book Antiqua" w:eastAsia="Times New Roman" w:hAnsi="Book Antiqua" w:cs="Arial"/>
          <w:i/>
          <w:iCs/>
          <w:sz w:val="20"/>
          <w:szCs w:val="20"/>
        </w:rPr>
        <w:t xml:space="preserve">Potential sulfur dioxide emission rate </w:t>
      </w:r>
      <w:r w:rsidRPr="00F16C03">
        <w:rPr>
          <w:rFonts w:ascii="Book Antiqua" w:eastAsia="Times New Roman" w:hAnsi="Book Antiqua" w:cs="Arial"/>
          <w:sz w:val="20"/>
          <w:szCs w:val="20"/>
        </w:rPr>
        <w:t>is the theoretical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that would result from combusting fuel in a cleaned state without using any post combustion emission control systems.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Process heater </w:t>
      </w:r>
      <w:r w:rsidRPr="00F16C03">
        <w:rPr>
          <w:rFonts w:ascii="Book Antiqua" w:eastAsia="Times New Roman" w:hAnsi="Book Antiqua" w:cs="Arial"/>
          <w:sz w:val="20"/>
          <w:szCs w:val="20"/>
        </w:rPr>
        <w:t>means a device that is primarily used to heat a material to initiate or promote a chemical reaction in which the material participates as a reactant or catalyst.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gramStart"/>
      <w:r w:rsidRPr="00F16C03">
        <w:rPr>
          <w:rFonts w:ascii="Book Antiqua" w:eastAsia="Times New Roman" w:hAnsi="Book Antiqua" w:cs="Arial"/>
          <w:i/>
          <w:iCs/>
          <w:sz w:val="20"/>
          <w:szCs w:val="20"/>
        </w:rPr>
        <w:t xml:space="preserve">Pulp and paper mills </w:t>
      </w:r>
      <w:r w:rsidRPr="00F16C03">
        <w:rPr>
          <w:rFonts w:ascii="Book Antiqua" w:eastAsia="Times New Roman" w:hAnsi="Book Antiqua" w:cs="Arial"/>
          <w:sz w:val="20"/>
          <w:szCs w:val="20"/>
        </w:rPr>
        <w:t>means</w:t>
      </w:r>
      <w:proofErr w:type="gramEnd"/>
      <w:r w:rsidRPr="00F16C03">
        <w:rPr>
          <w:rFonts w:ascii="Book Antiqua" w:eastAsia="Times New Roman" w:hAnsi="Book Antiqua" w:cs="Arial"/>
          <w:sz w:val="20"/>
          <w:szCs w:val="20"/>
        </w:rPr>
        <w:t xml:space="preserve"> industrial plants that are classified by the Department of Commerce under North American Industry Classification System (NAICS) Code 322 or Standard Industrial Classification (SIC) Code 26.</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Pulverized coal-fired steam generating unit </w:t>
      </w:r>
      <w:r w:rsidRPr="00F16C03">
        <w:rPr>
          <w:rFonts w:ascii="Book Antiqua" w:eastAsia="Times New Roman" w:hAnsi="Book Antiqua" w:cs="Arial"/>
          <w:sz w:val="20"/>
          <w:szCs w:val="20"/>
        </w:rPr>
        <w:t xml:space="preserve">means a steam generating unit in which pulverized coal is introduced into an air stream that carries the coal to the combustion chamber of the steam generating unit where it is fired in suspension. This includes both conventional pulverized coal-fired and </w:t>
      </w:r>
      <w:proofErr w:type="spellStart"/>
      <w:r w:rsidRPr="00F16C03">
        <w:rPr>
          <w:rFonts w:ascii="Book Antiqua" w:eastAsia="Times New Roman" w:hAnsi="Book Antiqua" w:cs="Arial"/>
          <w:sz w:val="20"/>
          <w:szCs w:val="20"/>
        </w:rPr>
        <w:t>micropulverized</w:t>
      </w:r>
      <w:proofErr w:type="spellEnd"/>
      <w:r w:rsidRPr="00F16C03">
        <w:rPr>
          <w:rFonts w:ascii="Book Antiqua" w:eastAsia="Times New Roman" w:hAnsi="Book Antiqua" w:cs="Arial"/>
          <w:sz w:val="20"/>
          <w:szCs w:val="20"/>
        </w:rPr>
        <w:t xml:space="preserve"> coal-fired steam generating units. Residual oil means crude oil, fuel oil numbers 1 and 2 that have a nitrogen content greater than 0.05 weight percent, and all fuel oil numbers 4, 5 and 6, as defined by the American Society of Testing and Materials in ASTM D396 (incorporated by reference, see §60.17).</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Spreader stoker steam generating unit </w:t>
      </w:r>
      <w:r w:rsidRPr="00F16C03">
        <w:rPr>
          <w:rFonts w:ascii="Book Antiqua" w:eastAsia="Times New Roman" w:hAnsi="Book Antiqua" w:cs="Arial"/>
          <w:sz w:val="20"/>
          <w:szCs w:val="20"/>
        </w:rPr>
        <w:t>means a steam generating unit in which solid fuel is introduced to the combustion zone by a mechanism that throws the fuel onto a grate from above. Combustion takes place both in suspension and on the grate.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Steam generating unit </w:t>
      </w:r>
      <w:r w:rsidRPr="00F16C03">
        <w:rPr>
          <w:rFonts w:ascii="Book Antiqua" w:eastAsia="Times New Roman" w:hAnsi="Book Antiqua" w:cs="Arial"/>
          <w:sz w:val="20"/>
          <w:szCs w:val="20"/>
        </w:rPr>
        <w:t>means a device that combusts any fuel or byproduct/waste and produces steam or heats water or heats any heat transfer medium. This term includes any municipal-type solid waste incinerator with a heat recovery steam generating unit or any steam generating unit that combusts fuel and is part of a cogeneration system or a combined cycle system. This term does not include process heaters as they are defined in this subpart.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Steam generating unit operating day </w:t>
      </w:r>
      <w:r w:rsidRPr="00F16C03">
        <w:rPr>
          <w:rFonts w:ascii="Book Antiqua" w:eastAsia="Times New Roman" w:hAnsi="Book Antiqua" w:cs="Arial"/>
          <w:sz w:val="20"/>
          <w:szCs w:val="20"/>
        </w:rPr>
        <w:t>means a 24-hour period between 12:00 midnight and the following midnight during which any fuel is combusted at any time in the steam generating unit. It is not necessary for fuel to be combusted continuously for the entire 24-hour period.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Very low sulfur oil </w:t>
      </w:r>
      <w:r w:rsidRPr="00F16C03">
        <w:rPr>
          <w:rFonts w:ascii="Book Antiqua" w:eastAsia="Times New Roman" w:hAnsi="Book Antiqua" w:cs="Arial"/>
          <w:sz w:val="20"/>
          <w:szCs w:val="20"/>
        </w:rPr>
        <w:t>means for units constructed, reconstructed, or modified on or before February 28, 2005, oil that contains no more than 0.5 weight percent sulfur or that, when combusted without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control, has a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equal to or less than 215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For units constructed, reconstructed, or modified after February 28, 2005 and not located in a </w:t>
      </w:r>
      <w:proofErr w:type="spellStart"/>
      <w:r w:rsidRPr="00F16C03">
        <w:rPr>
          <w:rFonts w:ascii="Book Antiqua" w:eastAsia="Times New Roman" w:hAnsi="Book Antiqua" w:cs="Arial"/>
          <w:sz w:val="20"/>
          <w:szCs w:val="20"/>
        </w:rPr>
        <w:t>noncontinental</w:t>
      </w:r>
      <w:proofErr w:type="spellEnd"/>
      <w:r w:rsidRPr="00F16C03">
        <w:rPr>
          <w:rFonts w:ascii="Book Antiqua" w:eastAsia="Times New Roman" w:hAnsi="Book Antiqua" w:cs="Arial"/>
          <w:sz w:val="20"/>
          <w:szCs w:val="20"/>
        </w:rPr>
        <w:t xml:space="preserve"> area, </w:t>
      </w:r>
      <w:r w:rsidRPr="00F16C03">
        <w:rPr>
          <w:rFonts w:ascii="Book Antiqua" w:eastAsia="Times New Roman" w:hAnsi="Book Antiqua" w:cs="Arial"/>
          <w:i/>
          <w:iCs/>
          <w:sz w:val="20"/>
          <w:szCs w:val="20"/>
        </w:rPr>
        <w:t xml:space="preserve">very low sulfur oil </w:t>
      </w:r>
      <w:r w:rsidRPr="00F16C03">
        <w:rPr>
          <w:rFonts w:ascii="Book Antiqua" w:eastAsia="Times New Roman" w:hAnsi="Book Antiqua" w:cs="Arial"/>
          <w:sz w:val="20"/>
          <w:szCs w:val="20"/>
        </w:rPr>
        <w:t>means oil that contains no more than 0.30 weight percent sulfur or that, when combusted without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w:t>
      </w:r>
      <w:proofErr w:type="gramStart"/>
      <w:r w:rsidRPr="00F16C03">
        <w:rPr>
          <w:rFonts w:ascii="Book Antiqua" w:eastAsia="Times New Roman" w:hAnsi="Book Antiqua" w:cs="Arial"/>
          <w:sz w:val="20"/>
          <w:szCs w:val="20"/>
        </w:rPr>
        <w:t>control,</w:t>
      </w:r>
      <w:proofErr w:type="gramEnd"/>
      <w:r w:rsidRPr="00F16C03">
        <w:rPr>
          <w:rFonts w:ascii="Book Antiqua" w:eastAsia="Times New Roman" w:hAnsi="Book Antiqua" w:cs="Arial"/>
          <w:sz w:val="20"/>
          <w:szCs w:val="20"/>
        </w:rPr>
        <w:t xml:space="preserve"> has a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equal to or less than 140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(0.32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For units constructed, reconstructed, or modified after February 28, 2005 and located in a </w:t>
      </w:r>
      <w:proofErr w:type="spellStart"/>
      <w:r w:rsidRPr="00F16C03">
        <w:rPr>
          <w:rFonts w:ascii="Book Antiqua" w:eastAsia="Times New Roman" w:hAnsi="Book Antiqua" w:cs="Arial"/>
          <w:sz w:val="20"/>
          <w:szCs w:val="20"/>
        </w:rPr>
        <w:t>noncontinental</w:t>
      </w:r>
      <w:proofErr w:type="spellEnd"/>
      <w:r w:rsidRPr="00F16C03">
        <w:rPr>
          <w:rFonts w:ascii="Book Antiqua" w:eastAsia="Times New Roman" w:hAnsi="Book Antiqua" w:cs="Arial"/>
          <w:sz w:val="20"/>
          <w:szCs w:val="20"/>
        </w:rPr>
        <w:t xml:space="preserve"> area, </w:t>
      </w:r>
      <w:r w:rsidRPr="00F16C03">
        <w:rPr>
          <w:rFonts w:ascii="Book Antiqua" w:eastAsia="Times New Roman" w:hAnsi="Book Antiqua" w:cs="Arial"/>
          <w:i/>
          <w:iCs/>
          <w:sz w:val="20"/>
          <w:szCs w:val="20"/>
        </w:rPr>
        <w:t xml:space="preserve">very low sulfur oil </w:t>
      </w:r>
      <w:r w:rsidRPr="00F16C03">
        <w:rPr>
          <w:rFonts w:ascii="Book Antiqua" w:eastAsia="Times New Roman" w:hAnsi="Book Antiqua" w:cs="Arial"/>
          <w:sz w:val="20"/>
          <w:szCs w:val="20"/>
        </w:rPr>
        <w:t>means oil that contains no more than 0.5 weight percent sulfur or that, when combusted without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w:t>
      </w:r>
      <w:proofErr w:type="gramStart"/>
      <w:r w:rsidRPr="00F16C03">
        <w:rPr>
          <w:rFonts w:ascii="Book Antiqua" w:eastAsia="Times New Roman" w:hAnsi="Book Antiqua" w:cs="Arial"/>
          <w:sz w:val="20"/>
          <w:szCs w:val="20"/>
        </w:rPr>
        <w:t>control,</w:t>
      </w:r>
      <w:proofErr w:type="gramEnd"/>
      <w:r w:rsidRPr="00F16C03">
        <w:rPr>
          <w:rFonts w:ascii="Book Antiqua" w:eastAsia="Times New Roman" w:hAnsi="Book Antiqua" w:cs="Arial"/>
          <w:sz w:val="20"/>
          <w:szCs w:val="20"/>
        </w:rPr>
        <w:t xml:space="preserve"> has a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equal to or less than 215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(0.50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Wet flue gas desulfurization technology </w:t>
      </w:r>
      <w:r w:rsidRPr="00F16C03">
        <w:rPr>
          <w:rFonts w:ascii="Book Antiqua" w:eastAsia="Times New Roman" w:hAnsi="Book Antiqua" w:cs="Arial"/>
          <w:sz w:val="20"/>
          <w:szCs w:val="20"/>
        </w:rPr>
        <w:t>means a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 that is located downstream of the steam generating unit and removes sulfur oxides from the combustion gases of the steam generating unit by contacting the combustion gas with an alkaline slurry or solution and forming a liquid material. This definition applies to devices where the aqueous liquid material product of this contact is subsequently converted to other forms. Alkaline reagents used in wet flue gas desulfurization technology include, but are not limited to, lime, limestone, and sodium.</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Wet scrubber system </w:t>
      </w:r>
      <w:r w:rsidRPr="00F16C03">
        <w:rPr>
          <w:rFonts w:ascii="Book Antiqua" w:eastAsia="Times New Roman" w:hAnsi="Book Antiqua" w:cs="Arial"/>
          <w:sz w:val="20"/>
          <w:szCs w:val="20"/>
        </w:rPr>
        <w:t>means any emission control device that mixes an aqueous stream or slurry with the exhaust gases from a steam generating unit to control emissions of PM 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w:t>
      </w:r>
    </w:p>
    <w:p w:rsidR="00F16C03" w:rsidRDefault="00F16C03">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Wood </w:t>
      </w:r>
      <w:r w:rsidRPr="00F16C03">
        <w:rPr>
          <w:rFonts w:ascii="Book Antiqua" w:eastAsia="Times New Roman" w:hAnsi="Book Antiqua" w:cs="Arial"/>
          <w:sz w:val="20"/>
          <w:szCs w:val="20"/>
        </w:rPr>
        <w:t xml:space="preserve">means wood, wood residue, bark, or any derivative fuel or residue thereof, in any form, including, but not limited to, sawdust, </w:t>
      </w:r>
      <w:proofErr w:type="spellStart"/>
      <w:r w:rsidRPr="00F16C03">
        <w:rPr>
          <w:rFonts w:ascii="Book Antiqua" w:eastAsia="Times New Roman" w:hAnsi="Book Antiqua" w:cs="Arial"/>
          <w:sz w:val="20"/>
          <w:szCs w:val="20"/>
        </w:rPr>
        <w:t>sanderdust</w:t>
      </w:r>
      <w:proofErr w:type="spellEnd"/>
      <w:r w:rsidRPr="00F16C03">
        <w:rPr>
          <w:rFonts w:ascii="Book Antiqua" w:eastAsia="Times New Roman" w:hAnsi="Book Antiqua" w:cs="Arial"/>
          <w:sz w:val="20"/>
          <w:szCs w:val="20"/>
        </w:rPr>
        <w:t>, wood chips, scraps, slabs, millings, shavings, and processed pellets made from wood or other forest residues.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5084, Jan. 28, 2009]</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60.42b   Standard for sulfur dioxide (SO</w:t>
      </w:r>
      <w:r w:rsidRPr="00F16C03">
        <w:rPr>
          <w:rFonts w:ascii="Book Antiqua" w:eastAsia="Times New Roman" w:hAnsi="Book Antiqua" w:cs="Arial"/>
          <w:b/>
          <w:bCs/>
          <w:sz w:val="20"/>
          <w:szCs w:val="20"/>
          <w:vertAlign w:val="subscript"/>
        </w:rPr>
        <w:t>2</w:t>
      </w:r>
      <w:r w:rsidRPr="00F16C03">
        <w:rPr>
          <w:rFonts w:ascii="Book Antiqua" w:eastAsia="Times New Roman" w:hAnsi="Book Antiqua" w:cs="Arial"/>
          <w:b/>
          <w:bCs/>
          <w:sz w:val="20"/>
          <w:szCs w:val="20"/>
        </w:rPr>
        <w:t>).</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Except as provided in paragraphs (b), (c), (d), or (j) of this section, on and after the date on which the performance test is completed or required to be completed under §60.8, whichever comes first, no owner or operator of an affected facility that commenced construction, reconstruction, or modification on or before February 28, 2005, that combusts coal or oil shall cause to be discharged into the atmosphere any gases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 excess of 87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or 10 percent (0.10) of the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(90 percent reduction) and the emission limit determined according to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147445" cy="396875"/>
            <wp:effectExtent l="19050" t="0" r="0" b="0"/>
            <wp:docPr id="1" name="Picture 1" descr="http://www.access.gpo.gov/ecfr/graphics/er28ja09.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28ja09.003.gif"/>
                    <pic:cNvPicPr>
                      <a:picLocks noChangeAspect="1" noChangeArrowheads="1"/>
                    </pic:cNvPicPr>
                  </pic:nvPicPr>
                  <pic:blipFill>
                    <a:blip r:embed="rId8" cstate="print"/>
                    <a:srcRect/>
                    <a:stretch>
                      <a:fillRect/>
                    </a:stretch>
                  </pic:blipFill>
                  <pic:spPr bwMode="auto">
                    <a:xfrm>
                      <a:off x="0" y="0"/>
                      <a:ext cx="1147445" cy="396875"/>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limit,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K</w:t>
      </w:r>
      <w:r w:rsidRPr="00F16C03">
        <w:rPr>
          <w:rFonts w:ascii="Book Antiqua" w:eastAsia="Times New Roman" w:hAnsi="Book Antiqua" w:cs="Arial"/>
          <w:sz w:val="20"/>
          <w:szCs w:val="20"/>
          <w:vertAlign w:val="subscript"/>
        </w:rPr>
        <w:t>a</w:t>
      </w:r>
      <w:r w:rsidRPr="00F16C03">
        <w:rPr>
          <w:rFonts w:ascii="Book Antiqua" w:eastAsia="Times New Roman" w:hAnsi="Book Antiqua" w:cs="Arial"/>
          <w:sz w:val="20"/>
          <w:szCs w:val="20"/>
        </w:rPr>
        <w:t xml:space="preserve">= 520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1.2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K</w:t>
      </w:r>
      <w:r w:rsidRPr="00F16C03">
        <w:rPr>
          <w:rFonts w:ascii="Book Antiqua" w:eastAsia="Times New Roman" w:hAnsi="Book Antiqua" w:cs="Arial"/>
          <w:sz w:val="20"/>
          <w:szCs w:val="20"/>
          <w:vertAlign w:val="subscript"/>
        </w:rPr>
        <w:t>b</w:t>
      </w:r>
      <w:r w:rsidRPr="00F16C03">
        <w:rPr>
          <w:rFonts w:ascii="Book Antiqua" w:eastAsia="Times New Roman" w:hAnsi="Book Antiqua" w:cs="Arial"/>
          <w:sz w:val="20"/>
          <w:szCs w:val="20"/>
        </w:rPr>
        <w:t xml:space="preserve">= 340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0.80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a</w:t>
      </w:r>
      <w:r w:rsidRPr="00F16C03">
        <w:rPr>
          <w:rFonts w:ascii="Book Antiqua" w:eastAsia="Times New Roman" w:hAnsi="Book Antiqua" w:cs="Arial"/>
          <w:sz w:val="20"/>
          <w:szCs w:val="20"/>
        </w:rPr>
        <w:t>= Heat input from the combustion of coal, in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b</w:t>
      </w:r>
      <w:proofErr w:type="spellEnd"/>
      <w:r w:rsidRPr="00F16C03">
        <w:rPr>
          <w:rFonts w:ascii="Book Antiqua" w:eastAsia="Times New Roman" w:hAnsi="Book Antiqua" w:cs="Arial"/>
          <w:sz w:val="20"/>
          <w:szCs w:val="20"/>
        </w:rPr>
        <w:t>= Heat input from the combustion of oil, in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On and after the date on which the performance test is completed or required to be completed under §60.8, whichever date comes first, no owner or operator of an affected facility that commenced construction, reconstruction, or modification on or before February 28, 2005, that combusts coal refuse alone in a fluidized bed combustion steam generating unit shall cause to be discharged into the atmosphere any gases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 excess of 87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or 20 percent (0.20) of the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(80 percent reduction) and 520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(1.2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coal or oil is fired with coal refuse, the affected facility is subject to paragraph (a) or (d) of this section, as applicable. 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(c) On and after the date on which the performance test is completed or is required to be completed under §60.8, whichever comes first, no owner or operator of an affected facility that combusts coal or oil, either alone or in combination with any other fuel, and that uses an emerging technology for the control of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shall cause to be discharged into the atmosphere any gases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in excess of 50 percent of the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(50 percent reduction) and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in excess of the emission limit determined according to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121410" cy="396875"/>
            <wp:effectExtent l="19050" t="0" r="2540" b="0"/>
            <wp:docPr id="2" name="Picture 2" descr="http://www.access.gpo.gov/ecfr/graphics/er28ja09.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28ja09.004.gif"/>
                    <pic:cNvPicPr>
                      <a:picLocks noChangeAspect="1" noChangeArrowheads="1"/>
                    </pic:cNvPicPr>
                  </pic:nvPicPr>
                  <pic:blipFill>
                    <a:blip r:embed="rId9" cstate="print"/>
                    <a:srcRect/>
                    <a:stretch>
                      <a:fillRect/>
                    </a:stretch>
                  </pic:blipFill>
                  <pic:spPr bwMode="auto">
                    <a:xfrm>
                      <a:off x="0" y="0"/>
                      <a:ext cx="1121410" cy="396875"/>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xml:space="preserve">= SO2 emission limit,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lb/MM Btu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K</w:t>
      </w:r>
      <w:r w:rsidRPr="00F16C03">
        <w:rPr>
          <w:rFonts w:ascii="Book Antiqua" w:eastAsia="Times New Roman" w:hAnsi="Book Antiqua" w:cs="Arial"/>
          <w:sz w:val="20"/>
          <w:szCs w:val="20"/>
          <w:vertAlign w:val="subscript"/>
        </w:rPr>
        <w:t>c</w:t>
      </w:r>
      <w:proofErr w:type="spellEnd"/>
      <w:r w:rsidRPr="00F16C03">
        <w:rPr>
          <w:rFonts w:ascii="Book Antiqua" w:eastAsia="Times New Roman" w:hAnsi="Book Antiqua" w:cs="Arial"/>
          <w:sz w:val="20"/>
          <w:szCs w:val="20"/>
        </w:rPr>
        <w:t xml:space="preserve">= 260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0.60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F16C03">
        <w:rPr>
          <w:rFonts w:ascii="Book Antiqua" w:eastAsia="Times New Roman" w:hAnsi="Book Antiqua" w:cs="Arial"/>
          <w:sz w:val="20"/>
          <w:szCs w:val="20"/>
        </w:rPr>
        <w:t>K</w:t>
      </w:r>
      <w:r w:rsidRPr="00F16C03">
        <w:rPr>
          <w:rFonts w:ascii="Book Antiqua" w:eastAsia="Times New Roman" w:hAnsi="Book Antiqua" w:cs="Arial"/>
          <w:sz w:val="20"/>
          <w:szCs w:val="20"/>
          <w:vertAlign w:val="subscript"/>
        </w:rPr>
        <w:t>d</w:t>
      </w:r>
      <w:proofErr w:type="spellEnd"/>
      <w:proofErr w:type="gramEnd"/>
      <w:r w:rsidRPr="00F16C03">
        <w:rPr>
          <w:rFonts w:ascii="Book Antiqua" w:eastAsia="Times New Roman" w:hAnsi="Book Antiqua" w:cs="Arial"/>
          <w:sz w:val="20"/>
          <w:szCs w:val="20"/>
        </w:rPr>
        <w:t xml:space="preserve">= 170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0.40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c</w:t>
      </w:r>
      <w:proofErr w:type="spellEnd"/>
      <w:r w:rsidRPr="00F16C03">
        <w:rPr>
          <w:rFonts w:ascii="Book Antiqua" w:eastAsia="Times New Roman" w:hAnsi="Book Antiqua" w:cs="Arial"/>
          <w:sz w:val="20"/>
          <w:szCs w:val="20"/>
        </w:rPr>
        <w:t>= Heat input from the combustion of coal, in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d</w:t>
      </w:r>
      <w:proofErr w:type="spellEnd"/>
      <w:proofErr w:type="gramEnd"/>
      <w:r w:rsidRPr="00F16C03">
        <w:rPr>
          <w:rFonts w:ascii="Book Antiqua" w:eastAsia="Times New Roman" w:hAnsi="Book Antiqua" w:cs="Arial"/>
          <w:sz w:val="20"/>
          <w:szCs w:val="20"/>
        </w:rPr>
        <w:t>= Heat input from the combustion of oil, in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For facilities complying with the percent reduction standard, only the heat input supplied to the affected facility from the combustion of coal and oil is counted in this paragraph. No credit is provided for the heat input to the affected facility from the combustion of natural gas, wood, municipal-type solid waste, or other fuels, or from the heat input derived from exhaust gases from other sources, such as gas turbines, internal combustion engines, kilns, etc.</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(d) On and after the date on which the performance test is completed or required to be completed under §60.8, whichever comes first, no owner or operator of an affected facility that commenced construction, reconstruction, or modification on or before February 28, 2005 and listed in paragraphs (d)(1), (2), (3), or (4) of this section shall cause to be discharged into the atmosphere any gases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 excess of 520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(1.2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if the affected facility combusts coal, or 215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the affected facility combusts oil other than very low sulfur oil. Percent reduction requirements are not applicable to affected facilities under paragraphs (d</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(2), (3) or (4) of this section. For facilities complying with paragraphs (d</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(2), or (3) of this section, only the heat input supplied to the affected facility from the combustion of coal and oil is counted in this paragraph.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Affected facilities that have an annual capacity factor for coal and oil of 30 percent (0.30) or less and are subject to a federally enforceable permit limiting the operation of the affected facility to an annual capacity factor for coal and oil of 30 percent (0.30)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Affected facilities located in a </w:t>
      </w:r>
      <w:proofErr w:type="spellStart"/>
      <w:r w:rsidRPr="00F16C03">
        <w:rPr>
          <w:rFonts w:ascii="Book Antiqua" w:eastAsia="Times New Roman" w:hAnsi="Book Antiqua" w:cs="Arial"/>
          <w:sz w:val="20"/>
          <w:szCs w:val="20"/>
        </w:rPr>
        <w:t>noncontinental</w:t>
      </w:r>
      <w:proofErr w:type="spellEnd"/>
      <w:r w:rsidRPr="00F16C03">
        <w:rPr>
          <w:rFonts w:ascii="Book Antiqua" w:eastAsia="Times New Roman" w:hAnsi="Book Antiqua" w:cs="Arial"/>
          <w:sz w:val="20"/>
          <w:szCs w:val="20"/>
        </w:rPr>
        <w:t xml:space="preserve"> area;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Affected facilities combusting coal or oil, alone or in combination with any fuel, in a duct burner as part of a combined cycle system where 30 percent (0.30) or less of the heat entering the steam generating unit is from combustion of coal and oil in the duct burner and 70 percent (0.70) or more of the heat entering the steam generating unit is from the exhaust gases entering the duct burner;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The affected facility burns coke oven gas alone or in combination with natural gas or very low sulfur distillate oil.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 Except as provided in paragraph (f) of this section, compliance with the emission limits, fuel oil sulfur limits, and/or percent reduction requirements under this section are determined on a 30-day rolling average basis.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 Except as provided in paragraph (j</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of this section, compliance with the emission limits or fuel oil sulfur limits under this section is determined on a 24-hour average basis for affected facilities that (1) have a federally enforceable permit limiting the annual capacity factor for oil to 10 percent or less, (2) combust only very low sulfur oil, and (3) do not combust any other fuel.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(g) Except as provided in paragraph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 and §60.45b(a),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limits and percent reduction requirements under this section apply at all times, including periods of startup, shutdown, and malfunction.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 Reductions in the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through fuel pretreatment are not credited toward the percent reduction requirement under paragraph (c) of this section unless: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Fuel pretreatment results in a 50 percent or greater reduction in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Emissions from the pretreated fuel (without combustion or post-combustion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are equal to or less than the emission limits specified in paragraph (c)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An affected facility subject to paragraph (a), (b), or (c) of this section may combust very low sulfur oil or natural gas when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 is not being operated because of malfunction or maintenance of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(j) Percent reduction requirements are not applicable to affected facilities combusting only very low sulfur oil. The owner or operator of an affected facility combusting very low sulfur oil shall demonstrate that the oil meets the definition of very low sulfur oil by: (1) Following the performance testing procedures as described in §60.45b(c) or §</w:t>
      </w:r>
      <w:proofErr w:type="gramStart"/>
      <w:r w:rsidRPr="00F16C03">
        <w:rPr>
          <w:rFonts w:ascii="Book Antiqua" w:eastAsia="Times New Roman" w:hAnsi="Book Antiqua" w:cs="Arial"/>
          <w:sz w:val="20"/>
          <w:szCs w:val="20"/>
        </w:rPr>
        <w:t>60.45b(</w:t>
      </w:r>
      <w:proofErr w:type="gramEnd"/>
      <w:r w:rsidRPr="00F16C03">
        <w:rPr>
          <w:rFonts w:ascii="Book Antiqua" w:eastAsia="Times New Roman" w:hAnsi="Book Antiqua" w:cs="Arial"/>
          <w:sz w:val="20"/>
          <w:szCs w:val="20"/>
        </w:rPr>
        <w:t>d), and following the monitoring procedures as described in §60.47b(a) or §60.47b(b) to determine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or fuel oil sulfur content; or (2) maintaining fuel records as described in §60.49b(r).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(k)(1) Except as provided in paragraphs (k)(2), (k)(3), and (k)(4) of this section, on and after the date on which the initial performance test is completed or is required to be completed under §60.8, whichever date comes first, no owner or operator of an affected facility that commences construction, reconstruction, or modification after February 28, 2005, and that combusts coal, oil, natural gas, a mixture of these fuels, or a mixture of these fuels with any other fuels shall cause to be discharged into the atmosphere any gases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 excess of 87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or 8 percent (0.08) of the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(92 percent reduction) and 520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(1.2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For facilities complying with the percent reduction standard and paragraph (k)(3) of this section, only the heat input supplied to the affected facility from the combustion of coal and oil is counted in paragraph (k) of this section. No credit is provided for the heat input to the affected facility from the combustion of natural gas, wood, municipal-type solid waste, or other fuels or heat derived from exhaust gases from other sources, such as gas turbines, internal combustion engines, kilns, etc.</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Units firing only very low sulfur oil, gaseous fuel, a mixture of these fuels, or a mixture of these fuels with any other fuels with a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of 140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(0.32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or less are exempt from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limit in paragraph (k)(1)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Units that are located in a </w:t>
      </w:r>
      <w:proofErr w:type="spellStart"/>
      <w:r w:rsidRPr="00F16C03">
        <w:rPr>
          <w:rFonts w:ascii="Book Antiqua" w:eastAsia="Times New Roman" w:hAnsi="Book Antiqua" w:cs="Arial"/>
          <w:sz w:val="20"/>
          <w:szCs w:val="20"/>
        </w:rPr>
        <w:t>noncontinental</w:t>
      </w:r>
      <w:proofErr w:type="spellEnd"/>
      <w:r w:rsidRPr="00F16C03">
        <w:rPr>
          <w:rFonts w:ascii="Book Antiqua" w:eastAsia="Times New Roman" w:hAnsi="Book Antiqua" w:cs="Arial"/>
          <w:sz w:val="20"/>
          <w:szCs w:val="20"/>
        </w:rPr>
        <w:t xml:space="preserve"> area and that combust coal, oil, or natural gas shall not discharge any gases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 excess of 520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(1.2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if the affected facility combusts coal, or 215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(0.50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the affected facility combusts oil or natural gas.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As an alternative to meeting the requirements under paragraph (k</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of this section, modified facilities that combust coal or a mixture of coal with other fuels shall not cause to be discharged into the atmosphere any gases that contain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 excess of 87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or 10 percent (0.10) of the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(90 percent reduction) and 520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(1.2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5084, Jan. 28, 2009; 76 FR 3523, Jan. 20, 2011]</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60.43b   Standard for particulate matter (PM).</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On and after the date on which the initial performance test is completed or is required to be completed under §60.8, whichever comes first, no owner or operator of an affected facility that commenced construction, reconstruction, or modification on or before February 28, 2005 that combusts coal or combusts mixtures of coal with other fuels, shall cause to be discharged into the atmosphere from that affected facility any gases that contain PM in excess of the following emission limits:</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22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(0.051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If the affected facility combusts only coal,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If the affected facility combusts coal and other fuels and has an annual capacity factor for the other fuels of 10 percent (0.10)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43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(0.10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the affected facility combusts coal and other fuels and has an annual capacity factor for the other fuels greater than 10 percent (0.10) and is subject to a federally enforceable requirement limiting operation of the affected facility to an annual capacity factor greater than 10 percent (0.10) for fuels other than coal.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86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the affected facility combusts coal or coal and other fuels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Has an annual capacity factor for coal or coal and other fuels of 30 percent (0.30)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Has a maximum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Has a federally enforceable requirement limiting operation of the affected facility to an annual capacity factor of 30 percent (0.30) or less for coal or coal and other solid fuels,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gramStart"/>
      <w:r w:rsidRPr="00F16C03">
        <w:rPr>
          <w:rFonts w:ascii="Book Antiqua" w:eastAsia="Times New Roman" w:hAnsi="Book Antiqua" w:cs="Arial"/>
          <w:sz w:val="20"/>
          <w:szCs w:val="20"/>
        </w:rPr>
        <w:t>(iv) Construction</w:t>
      </w:r>
      <w:proofErr w:type="gramEnd"/>
      <w:r w:rsidRPr="00F16C03">
        <w:rPr>
          <w:rFonts w:ascii="Book Antiqua" w:eastAsia="Times New Roman" w:hAnsi="Book Antiqua" w:cs="Arial"/>
          <w:sz w:val="20"/>
          <w:szCs w:val="20"/>
        </w:rPr>
        <w:t xml:space="preserve"> of the affected facility commenced after June 19, 1984, and before November 25, 1986.</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An affected facility burning coke oven gas alone or in combination with other fuels not subject to a PM standard under §60.43b and not using a post-combustion technology (except a wet scrubber) for reducing PM 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is not subject to the PM limits under §60.43b(a).</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On and after the date on which the performance test is completed or required to be completed under §60.8, whichever comes first, no owner or operator of an affected facility that commenced construction, reconstruction, or modification on or before February 28, 2005, and that combusts oil (or mixtures of oil with other fuels) and uses a conventional or emerging technology to reduce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emissions shall cause to be discharged into the atmosphere from that affected facility any gases that contain PM in excess of 43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(0.10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(c) On and after the date on which the initial performance test is completed or is required to be completed under §60.8, whichever comes first, no owner or operator of an affected facility that commenced construction, reconstruction, or modification on or before February 28, 2005, and that combusts wood, or wood with other fuels, except coal, shall cause to be discharged from that affected facility any gases that contain PM in excess of the following emission limits: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43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(0.10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the affected facility has an annual capacity factor greater than 30 percent (0.30) for wood.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86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affected facility has an annual capacity factor of 30 percent (0.30) or less for wood;</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Is subject to a federally enforceable requirement limiting operation of the affected facility to an annual capacity factor of 30 percent (0.30) or less for wood;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(iii) Has a maximum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(d) On and after the date on which the initial performance test is completed or is required to be completed under §60.8, whichever date comes first, no owner or operator of an affected facility that combusts municipal-type solid waste or mixtures of municipal-type solid waste with other fuels, shall cause to be discharged into the atmosphere from that affected facility any gases that contain PM in excess of the following emission limits: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43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(0.10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If the affected facility combusts only municipal-type solid waste;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If the affected facility combusts municipal-type solid waste and other fuels and has an annual capacity factor for the other fuels of 10 percent (0.10)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86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if the affected facility combusts municipal-type solid waste or municipal-type solid waste and other fuels;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Has an annual capacity factor for municipal-type solid waste and other fuels of 30 percent (0.30)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Has a maximum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Has a federally enforceable requirement limiting operation of the affected facility to an annual capacity factor of 30 percent (0.30) or less for municipal-type solid waste, or municipal-type solid waste and other fuels;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gramStart"/>
      <w:r w:rsidRPr="00F16C03">
        <w:rPr>
          <w:rFonts w:ascii="Book Antiqua" w:eastAsia="Times New Roman" w:hAnsi="Book Antiqua" w:cs="Arial"/>
          <w:sz w:val="20"/>
          <w:szCs w:val="20"/>
        </w:rPr>
        <w:t>(iv) Construction</w:t>
      </w:r>
      <w:proofErr w:type="gramEnd"/>
      <w:r w:rsidRPr="00F16C03">
        <w:rPr>
          <w:rFonts w:ascii="Book Antiqua" w:eastAsia="Times New Roman" w:hAnsi="Book Antiqua" w:cs="Arial"/>
          <w:sz w:val="20"/>
          <w:szCs w:val="20"/>
        </w:rPr>
        <w:t xml:space="preserve"> of the affected facility commenced after June 19, 1984, but on or before November 25, 1986.</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 For the purposes of this section, the annual capacity factor is determined by dividing the actual heat input to the steam generating unit during the calendar year from the combustion of coal, wood, or municipal-type solid waste, and other fuels, as applicable, by the potential heat input to the steam generating unit if the steam generating unit had been operated for 8,760 hours at the maximum heat input capacity.</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 On and after the date on which the initial performance test is completed or is required to be completed under §60.8, whichever date comes first, no owner or operator of an affected facility that can combust coal, oil, wood, or mixtures of these fuels with any other fuels shall cause to be discharged into the atmosphere any gases that exhibit greater than 20 percent opacity (6-minute average), except for one 6-minute period per hour of not more than 27 percent opacity. Owners and operators of an affected facility that elect to install, calibrate, maintain, and operate a continuous emissions monitoring system (CEMS) for measuring PM emissions according to the requirements of this subpart and are subject to a federally enforceable PM limit of 0.030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or less are exempt from the opacity standard specified in this paragraph.</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(g) The PM and opacity standards apply at all times, except during periods of startup, shutdown, or malfunction.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(h)(1) Except as provided in paragraphs (h)(2), (h)(3), (h)(4), (h)(5), and (h)(6) of this section, on and after the date on which the initial performance test is completed or is required to be completed under §60.8, whichever date comes first, no owner or operator of an affected facility that commenced construction, reconstruction, or modification after February 28, 2005, and that combusts coal, oil, wood, a mixture of these fuels, or a mixture of these fuels with any other fuels shall cause to be discharged into the atmosphere from that affected facility any gases that contain PM in excess of 13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(0.030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As an alternative to meeting the requirements of paragraph (h)(1) of this section, the owner or operator of an affected facility for which modification commenced after February 28, 2005, may elect to meet the requirements of this paragraph. On and after the date on which the initial performance test is completed or required to be completed under §60.8, no owner or operator of an affected facility that commences modification after February 28, 2005 shall cause to be discharged into the atmosphere from that affected facility any gases that contain PM in excess of both:</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22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(0.051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derived from the combustion of coal, oil, wood, a mixture of these fuels, or a mixture of these fuels with any other fuels;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0.2 percent of the combustion concentration (99.8 percent reduction) when combusting coal, oil, wood, a mixture of these fuels, or a mixture of these fuels with any other fuels.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 or less shall cause to be discharged into the atmosphere from that affected facility any gases that contain PM in excess of 43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(0.10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On and after the date on which the initial performance test is completed or is required to be completed under §60.8, whichever date comes first, no owner or operator of an affected facility that commences modification after February 28, 2005, and that combusts over 30 percent wood (by heat input) on an annual basis and has a maximum heat input capacity greater than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 shall cause to be discharged into the atmosphere from that affected facility any gases that contain PM in excess of 37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(0.085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(5) On and after the date on which the initial performance test is completed or is required to be completed under §60.8, whichever date comes first, an owner or operator of an affected facility not located in a </w:t>
      </w:r>
      <w:proofErr w:type="spellStart"/>
      <w:r w:rsidRPr="00F16C03">
        <w:rPr>
          <w:rFonts w:ascii="Book Antiqua" w:eastAsia="Times New Roman" w:hAnsi="Book Antiqua" w:cs="Arial"/>
          <w:sz w:val="20"/>
          <w:szCs w:val="20"/>
        </w:rPr>
        <w:t>noncontinental</w:t>
      </w:r>
      <w:proofErr w:type="spellEnd"/>
      <w:r w:rsidRPr="00F16C03">
        <w:rPr>
          <w:rFonts w:ascii="Book Antiqua" w:eastAsia="Times New Roman" w:hAnsi="Book Antiqua" w:cs="Arial"/>
          <w:sz w:val="20"/>
          <w:szCs w:val="20"/>
        </w:rPr>
        <w:t xml:space="preserve"> area that commences construction, reconstruction, or modification after February 28, 2005, and that combusts only oil that contains no more than 0.30 weight percent sulfur, coke oven gas, a mixture of these fuels, or either fuel (or a mixture of these fuels) in combination with other fuels not subject to a PM standard in §60.43b and not using a post-combustion technology (except a wet scrubber) to reduce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PM emissions is not subject to the PM limits in (h)(1)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(6) On and after the date on which the initial performance test is completed or is required to be completed under §60.8, whichever date comes first, an owner or operator of an affected facility located in a </w:t>
      </w:r>
      <w:proofErr w:type="spellStart"/>
      <w:r w:rsidRPr="00F16C03">
        <w:rPr>
          <w:rFonts w:ascii="Book Antiqua" w:eastAsia="Times New Roman" w:hAnsi="Book Antiqua" w:cs="Arial"/>
          <w:sz w:val="20"/>
          <w:szCs w:val="20"/>
        </w:rPr>
        <w:t>noncontinental</w:t>
      </w:r>
      <w:proofErr w:type="spellEnd"/>
      <w:r w:rsidRPr="00F16C03">
        <w:rPr>
          <w:rFonts w:ascii="Book Antiqua" w:eastAsia="Times New Roman" w:hAnsi="Book Antiqua" w:cs="Arial"/>
          <w:sz w:val="20"/>
          <w:szCs w:val="20"/>
        </w:rPr>
        <w:t xml:space="preserve"> area that commences construction, reconstruction, or modification after February 28, 2005, and that combusts only oil that contains no more than 0.5 weight percent sulfur, coke oven gas, a mixture of these fuels, or either fuel (or a mixture of these fuels) in combination with other fuels not subject to a PM standard in §60.43b and not using a post-combustion technology (except a wet scrubber) to reduce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PM emissions is not subject to the PM limits in (h)(1)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5084, Jan. 28, 2009]</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60.44b   Standard for nitrogen oxides (NOX).</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Except as provided under paragraphs (k) and (l) of this section, on and after the date on which the initial performance test is completed or is required to be completed under §60.8, whichever date comes first, no owner or operator of an affected facility that is subject to the provisions of this section and that combusts only coal, oil, or natural gas shall cause to be discharged into the atmosphere from that affected facility any gases that contain 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(expressed as NO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in excess of the following emission limits: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59"/>
        <w:gridCol w:w="1292"/>
        <w:gridCol w:w="3439"/>
      </w:tblGrid>
      <w:tr w:rsidR="00F16C03" w:rsidRPr="00F16C03" w:rsidTr="00F16C03">
        <w:tc>
          <w:tcPr>
            <w:tcW w:w="0" w:type="auto"/>
            <w:vMerge w:val="restart"/>
            <w:tcBorders>
              <w:top w:val="single" w:sz="6" w:space="0" w:color="000000"/>
              <w:left w:val="single" w:sz="6" w:space="0" w:color="000000"/>
              <w:bottom w:val="single" w:sz="6" w:space="0" w:color="000000"/>
              <w:right w:val="single" w:sz="6" w:space="0" w:color="000000"/>
            </w:tcBorders>
            <w:vAlign w:val="bottom"/>
            <w:hideMark/>
          </w:tcPr>
          <w:p w:rsidR="00F16C03" w:rsidRPr="00F16C03" w:rsidRDefault="00F16C03" w:rsidP="00F16C03">
            <w:pPr>
              <w:spacing w:after="0" w:line="240" w:lineRule="auto"/>
              <w:jc w:val="center"/>
              <w:rPr>
                <w:rFonts w:ascii="Book Antiqua" w:eastAsia="Times New Roman" w:hAnsi="Book Antiqua" w:cs="Times New Roman"/>
                <w:b/>
                <w:bCs/>
                <w:sz w:val="20"/>
                <w:szCs w:val="20"/>
              </w:rPr>
            </w:pPr>
            <w:r w:rsidRPr="00F16C03">
              <w:rPr>
                <w:rFonts w:ascii="Book Antiqua" w:eastAsia="Times New Roman" w:hAnsi="Book Antiqua" w:cs="Times New Roman"/>
                <w:b/>
                <w:bCs/>
                <w:sz w:val="20"/>
                <w:szCs w:val="20"/>
              </w:rPr>
              <w:t>Fuel/steam generating unit type</w:t>
            </w:r>
          </w:p>
        </w:tc>
        <w:tc>
          <w:tcPr>
            <w:tcW w:w="0" w:type="auto"/>
            <w:gridSpan w:val="2"/>
            <w:tcBorders>
              <w:top w:val="single" w:sz="6" w:space="0" w:color="000000"/>
              <w:left w:val="single" w:sz="6" w:space="0" w:color="000000"/>
              <w:bottom w:val="single" w:sz="6" w:space="0" w:color="000000"/>
              <w:right w:val="single" w:sz="6" w:space="0" w:color="000000"/>
            </w:tcBorders>
            <w:vAlign w:val="bottom"/>
            <w:hideMark/>
          </w:tcPr>
          <w:p w:rsidR="00F16C03" w:rsidRPr="00F16C03" w:rsidRDefault="00F16C03" w:rsidP="00F16C03">
            <w:pPr>
              <w:spacing w:after="0" w:line="240" w:lineRule="auto"/>
              <w:jc w:val="center"/>
              <w:rPr>
                <w:rFonts w:ascii="Book Antiqua" w:eastAsia="Times New Roman" w:hAnsi="Book Antiqua" w:cs="Times New Roman"/>
                <w:b/>
                <w:bCs/>
                <w:sz w:val="20"/>
                <w:szCs w:val="20"/>
              </w:rPr>
            </w:pPr>
            <w:r w:rsidRPr="00F16C03">
              <w:rPr>
                <w:rFonts w:ascii="Book Antiqua" w:eastAsia="Times New Roman" w:hAnsi="Book Antiqua" w:cs="Times New Roman"/>
                <w:b/>
                <w:bCs/>
                <w:sz w:val="20"/>
                <w:szCs w:val="20"/>
              </w:rPr>
              <w:t>Nitrogen oxide emission limits (expressed as NO</w:t>
            </w:r>
            <w:r w:rsidRPr="00F16C03">
              <w:rPr>
                <w:rFonts w:ascii="Book Antiqua" w:eastAsia="Times New Roman" w:hAnsi="Book Antiqua" w:cs="Times New Roman"/>
                <w:b/>
                <w:bCs/>
                <w:sz w:val="20"/>
                <w:szCs w:val="20"/>
                <w:vertAlign w:val="subscript"/>
              </w:rPr>
              <w:t>2</w:t>
            </w:r>
            <w:r w:rsidRPr="00F16C03">
              <w:rPr>
                <w:rFonts w:ascii="Book Antiqua" w:eastAsia="Times New Roman" w:hAnsi="Book Antiqua" w:cs="Times New Roman"/>
                <w:b/>
                <w:bCs/>
                <w:sz w:val="20"/>
                <w:szCs w:val="20"/>
              </w:rPr>
              <w:t>) heat input</w:t>
            </w:r>
          </w:p>
        </w:tc>
      </w:tr>
      <w:tr w:rsidR="00F16C03" w:rsidRPr="00F16C03" w:rsidTr="00F16C0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16C03" w:rsidRPr="00F16C03" w:rsidRDefault="00F16C03" w:rsidP="00F16C03">
            <w:pPr>
              <w:spacing w:after="0" w:line="240" w:lineRule="auto"/>
              <w:rPr>
                <w:rFonts w:ascii="Book Antiqua" w:eastAsia="Times New Roman" w:hAnsi="Book Antiqua" w:cs="Times New Roman"/>
                <w:b/>
                <w:bCs/>
                <w:sz w:val="20"/>
                <w:szCs w:val="20"/>
              </w:rPr>
            </w:pP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16C03" w:rsidRPr="00F16C03" w:rsidRDefault="00F16C03" w:rsidP="00F16C03">
            <w:pPr>
              <w:spacing w:after="0" w:line="240" w:lineRule="auto"/>
              <w:jc w:val="center"/>
              <w:rPr>
                <w:rFonts w:ascii="Book Antiqua" w:eastAsia="Times New Roman" w:hAnsi="Book Antiqua" w:cs="Times New Roman"/>
                <w:b/>
                <w:bCs/>
                <w:sz w:val="20"/>
                <w:szCs w:val="20"/>
              </w:rPr>
            </w:pPr>
            <w:proofErr w:type="spellStart"/>
            <w:r w:rsidRPr="00F16C03">
              <w:rPr>
                <w:rFonts w:ascii="Book Antiqua" w:eastAsia="Times New Roman" w:hAnsi="Book Antiqua" w:cs="Times New Roman"/>
                <w:b/>
                <w:bCs/>
                <w:sz w:val="20"/>
                <w:szCs w:val="20"/>
              </w:rPr>
              <w:t>ng</w:t>
            </w:r>
            <w:proofErr w:type="spellEnd"/>
            <w:r w:rsidRPr="00F16C03">
              <w:rPr>
                <w:rFonts w:ascii="Book Antiqua" w:eastAsia="Times New Roman" w:hAnsi="Book Antiqua" w:cs="Times New Roman"/>
                <w:b/>
                <w:bCs/>
                <w:sz w:val="20"/>
                <w:szCs w:val="20"/>
              </w:rPr>
              <w:t>/J</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16C03" w:rsidRPr="00F16C03" w:rsidRDefault="00F16C03" w:rsidP="00F16C03">
            <w:pPr>
              <w:spacing w:after="0" w:line="240" w:lineRule="auto"/>
              <w:jc w:val="center"/>
              <w:rPr>
                <w:rFonts w:ascii="Book Antiqua" w:eastAsia="Times New Roman" w:hAnsi="Book Antiqua" w:cs="Times New Roman"/>
                <w:b/>
                <w:bCs/>
                <w:sz w:val="20"/>
                <w:szCs w:val="20"/>
              </w:rPr>
            </w:pPr>
            <w:r w:rsidRPr="00F16C03">
              <w:rPr>
                <w:rFonts w:ascii="Book Antiqua" w:eastAsia="Times New Roman" w:hAnsi="Book Antiqua" w:cs="Times New Roman"/>
                <w:b/>
                <w:bCs/>
                <w:sz w:val="20"/>
                <w:szCs w:val="20"/>
              </w:rPr>
              <w:t>lb/</w:t>
            </w:r>
            <w:proofErr w:type="spellStart"/>
            <w:r w:rsidRPr="00F16C03">
              <w:rPr>
                <w:rFonts w:ascii="Book Antiqua" w:eastAsia="Times New Roman" w:hAnsi="Book Antiqua" w:cs="Times New Roman"/>
                <w:b/>
                <w:bCs/>
                <w:sz w:val="20"/>
                <w:szCs w:val="20"/>
              </w:rPr>
              <w:t>MMBTu</w:t>
            </w:r>
            <w:proofErr w:type="spellEnd"/>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(1) Natural gas and distillate oil, except (4):</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w:t>
            </w:r>
            <w:proofErr w:type="spellStart"/>
            <w:r w:rsidRPr="00F16C03">
              <w:rPr>
                <w:rFonts w:ascii="Book Antiqua" w:eastAsia="Times New Roman" w:hAnsi="Book Antiqua" w:cs="Times New Roman"/>
                <w:sz w:val="20"/>
                <w:szCs w:val="20"/>
              </w:rPr>
              <w:t>i</w:t>
            </w:r>
            <w:proofErr w:type="spellEnd"/>
            <w:r w:rsidRPr="00F16C03">
              <w:rPr>
                <w:rFonts w:ascii="Book Antiqua" w:eastAsia="Times New Roman" w:hAnsi="Book Antiqua" w:cs="Times New Roman"/>
                <w:sz w:val="20"/>
                <w:szCs w:val="20"/>
              </w:rPr>
              <w:t>)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43</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0.10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86</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0.20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(2) Residual oil:</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w:t>
            </w:r>
            <w:proofErr w:type="spellStart"/>
            <w:r w:rsidRPr="00F16C03">
              <w:rPr>
                <w:rFonts w:ascii="Book Antiqua" w:eastAsia="Times New Roman" w:hAnsi="Book Antiqua" w:cs="Times New Roman"/>
                <w:sz w:val="20"/>
                <w:szCs w:val="20"/>
              </w:rPr>
              <w:t>i</w:t>
            </w:r>
            <w:proofErr w:type="spellEnd"/>
            <w:r w:rsidRPr="00F16C03">
              <w:rPr>
                <w:rFonts w:ascii="Book Antiqua" w:eastAsia="Times New Roman" w:hAnsi="Book Antiqua" w:cs="Times New Roman"/>
                <w:sz w:val="20"/>
                <w:szCs w:val="20"/>
              </w:rPr>
              <w:t>) Low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130</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0.30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(ii) High heat release rate</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170</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0.40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(3) Coal:</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w:t>
            </w:r>
            <w:proofErr w:type="spellStart"/>
            <w:r w:rsidRPr="00F16C03">
              <w:rPr>
                <w:rFonts w:ascii="Book Antiqua" w:eastAsia="Times New Roman" w:hAnsi="Book Antiqua" w:cs="Times New Roman"/>
                <w:sz w:val="20"/>
                <w:szCs w:val="20"/>
              </w:rPr>
              <w:t>i</w:t>
            </w:r>
            <w:proofErr w:type="spellEnd"/>
            <w:r w:rsidRPr="00F16C03">
              <w:rPr>
                <w:rFonts w:ascii="Book Antiqua" w:eastAsia="Times New Roman" w:hAnsi="Book Antiqua" w:cs="Times New Roman"/>
                <w:sz w:val="20"/>
                <w:szCs w:val="20"/>
              </w:rPr>
              <w:t>) Mass-feed stoker</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210</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0.50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(ii) Spreader stoker and fluidized bed combustion</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260</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0.60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(iii) Pulverized coal</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300</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0.70</w:t>
            </w:r>
          </w:p>
        </w:tc>
      </w:tr>
    </w:tbl>
    <w:p w:rsidR="00F16C03" w:rsidRDefault="00F16C03">
      <w:r>
        <w:br w:type="page"/>
      </w:r>
    </w:p>
    <w:tbl>
      <w:tblPr>
        <w:tblW w:w="4543" w:type="pct"/>
        <w:tblInd w:w="945" w:type="dxa"/>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605"/>
        <w:gridCol w:w="1350"/>
        <w:gridCol w:w="3435"/>
      </w:tblGrid>
      <w:tr w:rsidR="00F16C03" w:rsidRPr="00F16C03" w:rsidTr="00F16C03">
        <w:tc>
          <w:tcPr>
            <w:tcW w:w="2452"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(iv) Lignite, except (v)</w:t>
            </w:r>
          </w:p>
        </w:tc>
        <w:tc>
          <w:tcPr>
            <w:tcW w:w="71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260</w:t>
            </w:r>
          </w:p>
        </w:tc>
        <w:tc>
          <w:tcPr>
            <w:tcW w:w="182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0.60</w:t>
            </w:r>
          </w:p>
        </w:tc>
      </w:tr>
      <w:tr w:rsidR="00F16C03" w:rsidRPr="00F16C03" w:rsidTr="00F16C03">
        <w:tc>
          <w:tcPr>
            <w:tcW w:w="2452"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(v) Lignite mined in North Dakota, South Dakota, or Montana and combusted in a slag tap furnace</w:t>
            </w:r>
          </w:p>
        </w:tc>
        <w:tc>
          <w:tcPr>
            <w:tcW w:w="71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340</w:t>
            </w:r>
          </w:p>
        </w:tc>
        <w:tc>
          <w:tcPr>
            <w:tcW w:w="182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0.80</w:t>
            </w:r>
          </w:p>
        </w:tc>
      </w:tr>
      <w:tr w:rsidR="00F16C03" w:rsidRPr="00F16C03" w:rsidTr="00F16C03">
        <w:tc>
          <w:tcPr>
            <w:tcW w:w="2452"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(vi) Coal-derived synthetic fuels</w:t>
            </w:r>
          </w:p>
        </w:tc>
        <w:tc>
          <w:tcPr>
            <w:tcW w:w="71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210</w:t>
            </w:r>
          </w:p>
        </w:tc>
        <w:tc>
          <w:tcPr>
            <w:tcW w:w="182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0.50</w:t>
            </w:r>
          </w:p>
        </w:tc>
      </w:tr>
      <w:tr w:rsidR="00F16C03" w:rsidRPr="00F16C03" w:rsidTr="00F16C03">
        <w:tc>
          <w:tcPr>
            <w:tcW w:w="2452"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(4) Duct burner used in a combined cycle system:</w:t>
            </w:r>
          </w:p>
        </w:tc>
        <w:tc>
          <w:tcPr>
            <w:tcW w:w="71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c>
          <w:tcPr>
            <w:tcW w:w="182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p>
        </w:tc>
      </w:tr>
      <w:tr w:rsidR="00F16C03" w:rsidRPr="00F16C03" w:rsidTr="00F16C03">
        <w:tc>
          <w:tcPr>
            <w:tcW w:w="2452"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w:t>
            </w:r>
            <w:proofErr w:type="spellStart"/>
            <w:r w:rsidRPr="00F16C03">
              <w:rPr>
                <w:rFonts w:ascii="Book Antiqua" w:eastAsia="Times New Roman" w:hAnsi="Book Antiqua" w:cs="Times New Roman"/>
                <w:sz w:val="20"/>
                <w:szCs w:val="20"/>
              </w:rPr>
              <w:t>i</w:t>
            </w:r>
            <w:proofErr w:type="spellEnd"/>
            <w:r w:rsidRPr="00F16C03">
              <w:rPr>
                <w:rFonts w:ascii="Book Antiqua" w:eastAsia="Times New Roman" w:hAnsi="Book Antiqua" w:cs="Times New Roman"/>
                <w:sz w:val="20"/>
                <w:szCs w:val="20"/>
              </w:rPr>
              <w:t>) Natural gas and distillate oil</w:t>
            </w:r>
          </w:p>
        </w:tc>
        <w:tc>
          <w:tcPr>
            <w:tcW w:w="71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86</w:t>
            </w:r>
          </w:p>
        </w:tc>
        <w:tc>
          <w:tcPr>
            <w:tcW w:w="182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0.20</w:t>
            </w:r>
          </w:p>
        </w:tc>
      </w:tr>
      <w:tr w:rsidR="00F16C03" w:rsidRPr="00F16C03" w:rsidTr="00F16C03">
        <w:tc>
          <w:tcPr>
            <w:tcW w:w="2452" w:type="pct"/>
            <w:tcBorders>
              <w:top w:val="single" w:sz="6" w:space="0" w:color="000000"/>
              <w:left w:val="single" w:sz="6" w:space="0" w:color="000000"/>
              <w:bottom w:val="single" w:sz="6" w:space="0" w:color="000000"/>
              <w:right w:val="single" w:sz="6" w:space="0" w:color="000000"/>
            </w:tcBorders>
            <w:tcMar>
              <w:top w:w="120" w:type="dxa"/>
              <w:left w:w="960" w:type="dxa"/>
              <w:bottom w:w="15" w:type="dxa"/>
              <w:right w:w="15" w:type="dxa"/>
            </w:tcMar>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(ii) Residual oil</w:t>
            </w:r>
          </w:p>
        </w:tc>
        <w:tc>
          <w:tcPr>
            <w:tcW w:w="71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170</w:t>
            </w:r>
          </w:p>
        </w:tc>
        <w:tc>
          <w:tcPr>
            <w:tcW w:w="1829" w:type="pct"/>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jc w:val="right"/>
              <w:rPr>
                <w:rFonts w:ascii="Book Antiqua" w:eastAsia="Times New Roman" w:hAnsi="Book Antiqua" w:cs="Times New Roman"/>
                <w:sz w:val="20"/>
                <w:szCs w:val="20"/>
              </w:rPr>
            </w:pPr>
            <w:r w:rsidRPr="00F16C03">
              <w:rPr>
                <w:rFonts w:ascii="Book Antiqua" w:eastAsia="Times New Roman" w:hAnsi="Book Antiqua" w:cs="Times New Roman"/>
                <w:sz w:val="20"/>
                <w:szCs w:val="20"/>
              </w:rPr>
              <w:t>0.40</w:t>
            </w:r>
          </w:p>
        </w:tc>
      </w:tr>
    </w:tbl>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(b) Except as provided under paragraphs (k) and (l) of this section, on and after the date on which the initial performance test is completed or is required to be completed under §60.8, whichever date comes first, no owner or operator of an affected facility that simultaneously combusts mixtures of coal, oil, or natural gas shall cause to be discharged into the atmosphere from that affected facility any gases that contain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excess of a limit determined by the use of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2035810" cy="466090"/>
            <wp:effectExtent l="19050" t="0" r="2540" b="0"/>
            <wp:docPr id="3" name="Picture 3" descr="http://www.access.gpo.gov/ecfr/graphics/er13jn07.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3jn07.024.gif"/>
                    <pic:cNvPicPr>
                      <a:picLocks noChangeAspect="1" noChangeArrowheads="1"/>
                    </pic:cNvPicPr>
                  </pic:nvPicPr>
                  <pic:blipFill>
                    <a:blip r:embed="rId10" cstate="print"/>
                    <a:srcRect/>
                    <a:stretch>
                      <a:fillRect/>
                    </a:stretch>
                  </pic:blipFill>
                  <pic:spPr bwMode="auto">
                    <a:xfrm>
                      <a:off x="0" y="0"/>
                      <a:ext cx="2035810" cy="466090"/>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n</w:t>
      </w:r>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(expressed as NO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EL</w:t>
      </w:r>
      <w:r w:rsidRPr="00F16C03">
        <w:rPr>
          <w:rFonts w:ascii="Book Antiqua" w:eastAsia="Times New Roman" w:hAnsi="Book Antiqua" w:cs="Arial"/>
          <w:sz w:val="20"/>
          <w:szCs w:val="20"/>
          <w:vertAlign w:val="subscript"/>
        </w:rPr>
        <w:t>go</w:t>
      </w:r>
      <w:proofErr w:type="spellEnd"/>
      <w:r w:rsidRPr="00F16C03">
        <w:rPr>
          <w:rFonts w:ascii="Book Antiqua" w:eastAsia="Times New Roman" w:hAnsi="Book Antiqua" w:cs="Arial"/>
          <w:sz w:val="20"/>
          <w:szCs w:val="20"/>
        </w:rPr>
        <w:t>= Appropriate emission limit from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1) for combustion of natural gas or distillate oil,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go</w:t>
      </w:r>
      <w:proofErr w:type="spellEnd"/>
      <w:r w:rsidRPr="00F16C03">
        <w:rPr>
          <w:rFonts w:ascii="Book Antiqua" w:eastAsia="Times New Roman" w:hAnsi="Book Antiqua" w:cs="Arial"/>
          <w:sz w:val="20"/>
          <w:szCs w:val="20"/>
        </w:rPr>
        <w:t>= Heat input from combustion of natural gas or distillate oil,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EL</w:t>
      </w:r>
      <w:r w:rsidRPr="00F16C03">
        <w:rPr>
          <w:rFonts w:ascii="Book Antiqua" w:eastAsia="Times New Roman" w:hAnsi="Book Antiqua" w:cs="Arial"/>
          <w:sz w:val="20"/>
          <w:szCs w:val="20"/>
          <w:vertAlign w:val="subscript"/>
        </w:rPr>
        <w:t>ro</w:t>
      </w:r>
      <w:proofErr w:type="spellEnd"/>
      <w:r w:rsidRPr="00F16C03">
        <w:rPr>
          <w:rFonts w:ascii="Book Antiqua" w:eastAsia="Times New Roman" w:hAnsi="Book Antiqua" w:cs="Arial"/>
          <w:sz w:val="20"/>
          <w:szCs w:val="20"/>
        </w:rPr>
        <w:t>= Appropriate emission limit from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2) for combustion of residual oil,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ro</w:t>
      </w:r>
      <w:proofErr w:type="spellEnd"/>
      <w:r w:rsidRPr="00F16C03">
        <w:rPr>
          <w:rFonts w:ascii="Book Antiqua" w:eastAsia="Times New Roman" w:hAnsi="Book Antiqua" w:cs="Arial"/>
          <w:sz w:val="20"/>
          <w:szCs w:val="20"/>
        </w:rPr>
        <w:t>= Heat input from combustion of residual oil,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EL</w:t>
      </w:r>
      <w:r w:rsidRPr="00F16C03">
        <w:rPr>
          <w:rFonts w:ascii="Book Antiqua" w:eastAsia="Times New Roman" w:hAnsi="Book Antiqua" w:cs="Arial"/>
          <w:sz w:val="20"/>
          <w:szCs w:val="20"/>
          <w:vertAlign w:val="subscript"/>
        </w:rPr>
        <w:t>c</w:t>
      </w:r>
      <w:proofErr w:type="spellEnd"/>
      <w:r w:rsidRPr="00F16C03">
        <w:rPr>
          <w:rFonts w:ascii="Book Antiqua" w:eastAsia="Times New Roman" w:hAnsi="Book Antiqua" w:cs="Arial"/>
          <w:sz w:val="20"/>
          <w:szCs w:val="20"/>
        </w:rPr>
        <w:t>= Appropriate emission limit from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3) for combustion of coal,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c</w:t>
      </w:r>
      <w:proofErr w:type="spellEnd"/>
      <w:r w:rsidRPr="00F16C03">
        <w:rPr>
          <w:rFonts w:ascii="Book Antiqua" w:eastAsia="Times New Roman" w:hAnsi="Book Antiqua" w:cs="Arial"/>
          <w:sz w:val="20"/>
          <w:szCs w:val="20"/>
        </w:rPr>
        <w:t>= Heat input from combustion of coal,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(c) Except as provided under paragraph (l) of this section, on and after the date on which the initial performance test is completed or is required to be completed under §60.8, whichever date comes first, no owner or operator of an affected facility that simultaneously combusts coal or oil, or a mixture of these fuels with natural gas, and wood, municipal-type solid waste, or any other fuel shall cause to be discharged into the atmosphere any gases that contain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excess of the emission limit for the coal or oil, or mixtures of these fuels with natural gas combusted in the affected facility, as determined pursuant to paragraph (a) or (b) of this section, unless the affected facility has an annual capacity factor for coal or oil, or mixture of these fuels with natural gas of 10 percent (0.10) or less and is subject to a federally enforceable requirement that limits operation of the affected facility to an annual capacity factor of 10 percent (0.10) or less for coal, oil, or a mixture of these fuels with natural gas.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(d) On and after the date on which the initial performance test is completed or is required to be completed under §60.8, whichever date comes first, no owner or operator of an affected facility that simultaneously combusts natural gas with wood, municipal-type solid waste, or other solid fuel, except coal, shall cause to be discharged into the atmosphere from that affected facility any gases that contain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excess of 130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(0.30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unless the affected facility has an annual capacity factor for natural gas of 10 percent (0.10) or less and is subject to a federally enforceable requirement that limits operation of the affected facility to an annual capacity factor of 10 percent (0.10) or less for natural gas.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(e) Except as provided under paragraph (l) of this section, on and after the date on which the initial performance test is completed or is required to be completed under §60.8, whichever date comes first, no owner or operator of an affected facility that simultaneously combusts coal, oil, or natural gas with byproduct/waste shall cause to be discharged into the atmosphere any gases that contain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excess of the emission limit determined by the following formula unless the affected facility has an annual capacity factor for coal, oil, and natural gas of 10 percent (0.10) or less and is subject to a federally enforceable requirement that limits operation of the affected facility to an annual capacity factor of 10 percent (0.10) or less:</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2001520" cy="466090"/>
            <wp:effectExtent l="19050" t="0" r="0" b="0"/>
            <wp:docPr id="4" name="Picture 4" descr="http://www.access.gpo.gov/ecfr/graphics/er13jn07.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3jn07.025.gif"/>
                    <pic:cNvPicPr>
                      <a:picLocks noChangeAspect="1" noChangeArrowheads="1"/>
                    </pic:cNvPicPr>
                  </pic:nvPicPr>
                  <pic:blipFill>
                    <a:blip r:embed="rId11" cstate="print"/>
                    <a:srcRect/>
                    <a:stretch>
                      <a:fillRect/>
                    </a:stretch>
                  </pic:blipFill>
                  <pic:spPr bwMode="auto">
                    <a:xfrm>
                      <a:off x="0" y="0"/>
                      <a:ext cx="2001520" cy="466090"/>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n</w:t>
      </w:r>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(expressed as NO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EL</w:t>
      </w:r>
      <w:r w:rsidRPr="00F16C03">
        <w:rPr>
          <w:rFonts w:ascii="Book Antiqua" w:eastAsia="Times New Roman" w:hAnsi="Book Antiqua" w:cs="Arial"/>
          <w:sz w:val="20"/>
          <w:szCs w:val="20"/>
          <w:vertAlign w:val="subscript"/>
        </w:rPr>
        <w:t>go</w:t>
      </w:r>
      <w:proofErr w:type="spellEnd"/>
      <w:r w:rsidRPr="00F16C03">
        <w:rPr>
          <w:rFonts w:ascii="Book Antiqua" w:eastAsia="Times New Roman" w:hAnsi="Book Antiqua" w:cs="Arial"/>
          <w:sz w:val="20"/>
          <w:szCs w:val="20"/>
        </w:rPr>
        <w:t>= Appropriate emission limit from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1) for combustion of natural gas or distillate oil,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go</w:t>
      </w:r>
      <w:proofErr w:type="spellEnd"/>
      <w:r w:rsidRPr="00F16C03">
        <w:rPr>
          <w:rFonts w:ascii="Book Antiqua" w:eastAsia="Times New Roman" w:hAnsi="Book Antiqua" w:cs="Arial"/>
          <w:sz w:val="20"/>
          <w:szCs w:val="20"/>
        </w:rPr>
        <w:t>= Heat input from combustion of natural gas, distillate oil and gaseous byproduct/waste,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EL</w:t>
      </w:r>
      <w:r w:rsidRPr="00F16C03">
        <w:rPr>
          <w:rFonts w:ascii="Book Antiqua" w:eastAsia="Times New Roman" w:hAnsi="Book Antiqua" w:cs="Arial"/>
          <w:sz w:val="20"/>
          <w:szCs w:val="20"/>
          <w:vertAlign w:val="subscript"/>
        </w:rPr>
        <w:t>ro</w:t>
      </w:r>
      <w:proofErr w:type="spellEnd"/>
      <w:r w:rsidRPr="00F16C03">
        <w:rPr>
          <w:rFonts w:ascii="Book Antiqua" w:eastAsia="Times New Roman" w:hAnsi="Book Antiqua" w:cs="Arial"/>
          <w:sz w:val="20"/>
          <w:szCs w:val="20"/>
        </w:rPr>
        <w:t>= Appropriate emission limit from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2) for combustion of residual oil and/or byproduct/waste,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ro</w:t>
      </w:r>
      <w:proofErr w:type="spellEnd"/>
      <w:r w:rsidRPr="00F16C03">
        <w:rPr>
          <w:rFonts w:ascii="Book Antiqua" w:eastAsia="Times New Roman" w:hAnsi="Book Antiqua" w:cs="Arial"/>
          <w:sz w:val="20"/>
          <w:szCs w:val="20"/>
        </w:rPr>
        <w:t>= Heat input from combustion of residual oil,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EL</w:t>
      </w:r>
      <w:r w:rsidRPr="00F16C03">
        <w:rPr>
          <w:rFonts w:ascii="Book Antiqua" w:eastAsia="Times New Roman" w:hAnsi="Book Antiqua" w:cs="Arial"/>
          <w:sz w:val="20"/>
          <w:szCs w:val="20"/>
          <w:vertAlign w:val="subscript"/>
        </w:rPr>
        <w:t>c</w:t>
      </w:r>
      <w:proofErr w:type="spellEnd"/>
      <w:r w:rsidRPr="00F16C03">
        <w:rPr>
          <w:rFonts w:ascii="Book Antiqua" w:eastAsia="Times New Roman" w:hAnsi="Book Antiqua" w:cs="Arial"/>
          <w:sz w:val="20"/>
          <w:szCs w:val="20"/>
        </w:rPr>
        <w:t>= Appropriate emission limit from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3) for combustion of coal,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c</w:t>
      </w:r>
      <w:proofErr w:type="spellEnd"/>
      <w:r w:rsidRPr="00F16C03">
        <w:rPr>
          <w:rFonts w:ascii="Book Antiqua" w:eastAsia="Times New Roman" w:hAnsi="Book Antiqua" w:cs="Arial"/>
          <w:sz w:val="20"/>
          <w:szCs w:val="20"/>
        </w:rPr>
        <w:t>= Heat input from combustion of coal, J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(f) Any owner or operator of an affected facility that combusts byproduct/waste with either natural gas or oil may petition the Administrator within 180 days of the initial startup of the affected facility to establish a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that shall apply specifically to that affected facility when the byproduct/waste is combusted. The petition shall include sufficient and appropriate data, as determined by the Administrator, such as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from the affected facility, waste composition (including nitrogen content), and combustion conditions to allow the Administrator to confirm that the affected facility is unable to comply with the emission limits in paragraph (e) of this section and to determine the appropriate emission limit for the affected facility.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Any owner or operator of an affected facility petitioning for a facility-specific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under this section shall: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Demonstrate compliance with the emission limits for natural gas and distillate oil in paragraph (a)(1) of this section or for residual oil in paragraph (a)(2) or (l)(1) of this section, as appropriate, by conducting a 30-day performance test as provided in §60.46b(e). During the performance test only natural gas, distillate oil, or residual oil shall be combusted in the affected facility;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Demonstrate that the affected facility is unable to comply with the emission limits for natural gas and distillate oil in paragraph (a)(1) of this section or for residual oil in paragraph (a)(2) or (l)(1) of this section, as appropriate, when gaseous or liquid byproduct/waste is combusted in the affected facility under the same conditions and using the same technological system of emission reduction applied when demonstrating compliance under paragraph (f)(1)(</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limits for natural gas or distillate oil in paragraph (a)(1) of this section or for residual oil in paragraph (a)(2) or (l)(1) of this section, as appropriate, shall be applicable to the affected facility until and unless the petition is approved by the Administrator. If the petition is approved by the Administrator, a facility-specific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will be established at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level achievable when the affected facility is combusting oil or natural gas and byproduct/waste in a manner that the Administrator determines to be consistent with minimizing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In lieu of amending this subpart, a letter will be sent to the facility describing the facility-specific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limit</w:t>
      </w:r>
      <w:proofErr w:type="spellEnd"/>
      <w:r w:rsidRPr="00F16C03">
        <w:rPr>
          <w:rFonts w:ascii="Book Antiqua" w:eastAsia="Times New Roman" w:hAnsi="Book Antiqua" w:cs="Arial"/>
          <w:sz w:val="20"/>
          <w:szCs w:val="20"/>
        </w:rPr>
        <w:t>. The facility shall use the compliance procedures detailed in the letter and make the letter available to the public. If the Administrator determines it is appropriate, the conditions and requirements of the letter can be reviewed and changed at any point.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(g) Any owner or operator of an affected facility that combusts hazardous waste (as defined by 40 CFR part 261 or 40 CFR part 761) with natural gas or oil may petition the Administrator within 180 days of the initial startup of the affected facility for a waiver from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that applies specifically to that affected facility. The petition must include sufficient and appropriate data, as determined by the Administrator, on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from the affected facility, waste destruction efficiencies, waste composition (including nitrogen content), </w:t>
      </w:r>
      <w:proofErr w:type="gramStart"/>
      <w:r w:rsidRPr="00F16C03">
        <w:rPr>
          <w:rFonts w:ascii="Book Antiqua" w:eastAsia="Times New Roman" w:hAnsi="Book Antiqua" w:cs="Arial"/>
          <w:sz w:val="20"/>
          <w:szCs w:val="20"/>
        </w:rPr>
        <w:t>the</w:t>
      </w:r>
      <w:proofErr w:type="gramEnd"/>
      <w:r w:rsidRPr="00F16C03">
        <w:rPr>
          <w:rFonts w:ascii="Book Antiqua" w:eastAsia="Times New Roman" w:hAnsi="Book Antiqua" w:cs="Arial"/>
          <w:sz w:val="20"/>
          <w:szCs w:val="20"/>
        </w:rPr>
        <w:t xml:space="preserve"> quantity of specific wastes to be combusted and combustion conditions to allow the Administrator to determine if the affected facility is able to comply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limits required by this section. The owner or operator of the affected facility shall demonstrate that when hazardous waste is combusted in the affected facility, thermal destruction efficiency requirements for hazardous waste specified in an applicable federally enforceable requirement preclude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limits of this section.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limits for natural gas or distillate oil in paragraph (a)(1) of this section or for residual oil in paragraph (a)(2) or (l)(1) of this section, as appropriate, are applicable to the affected facility until and unless the petition is approved by the Administrator. (See 40 CFR 761.70 for regulations applicable to the incineration of materials containing polychlorinated biphenyls (PCB's).) In lieu of amending this subpart, a letter will be sent to the facility describing the facility-specific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limit</w:t>
      </w:r>
      <w:proofErr w:type="spellEnd"/>
      <w:r w:rsidRPr="00F16C03">
        <w:rPr>
          <w:rFonts w:ascii="Book Antiqua" w:eastAsia="Times New Roman" w:hAnsi="Book Antiqua" w:cs="Arial"/>
          <w:sz w:val="20"/>
          <w:szCs w:val="20"/>
        </w:rPr>
        <w:t>. The facility shall use the compliance procedures detailed in the letter and make the letter available to the public. If the Administrator determines it is appropriate, the conditions and requirements of the letter can be reviewed and changed at any point.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 For purposes of paragraph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of this section,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under this section apply at all times including periods of startup, shutdown, or malfunction.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Except as provided under paragraph (j) of this section, compliance with the emission limits under this section is determined on a 30-day rolling average basis.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(j) Compliance with the emission limits under this section is determined on a 24-hour average basis for the initial performance test and on a 3-hour average basis for subsequent performance tests for any affected facilities that: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Combust, alone or in combination, only natural gas, distillate oil, or residual oil with a nitrogen content of 0.30 weight percent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Have a combined annual capacity factor of 10 percent or less for natural gas, distillate oil, and residual oil with a nitrogen content of 0.30 weight percent or less;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Are subject to a federally enforceable requirement limiting operation of the affected facility to the firing of natural gas, distillate oil, and/or residual oil with a nitrogen content of 0.30 weight percent or less and limiting operation of the affected facility to a combined annual capacity factor of 10 percent or less for natural gas, distillate oil, and residual oil with a nitrogen content of 0.30 weight percent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(k) Affected facilities that meet the criteria described in paragraphs (j)(1), (2), and (3) of this section, and that have a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/hr) or less, are not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limits under this section.</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(l) On and after the date on which the initial performance test is completed or is required to be completed under §60.8, whichever date comes first, no owner or operator of an affected facility that commenced construction or reconstruction after July 9, 1997 shall cause to be discharged into the atmosphere from that affected facility any gases that contain </w:t>
      </w:r>
      <w:proofErr w:type="gram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expressed as NO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in excess of the following limits: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If the affected facility combusts coal, oil, natural gas, a mixture of these fuels, or a mixture of these fuels with any other fuels: A limit of 86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(0.20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unless the affected facility has an annual capacity factor for coal, oil, and natural gas of 10 percent (0.10) or less and is subject to a federally enforceable requirement that limits operation of the facility to an annual capacity factor of 10 percent (0.10) or less for coal, oil, and natural gas;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If the affected facility has a low heat release rate and combusts natural gas or distillate oil in excess of 30 percent of the heat input on a 30-day rolling average from the combustion of all fuels, a limit determined by use of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578610" cy="466090"/>
            <wp:effectExtent l="19050" t="0" r="2540" b="0"/>
            <wp:docPr id="5" name="Picture 5" descr="http://www.access.gpo.gov/ecfr/graphics/er13jn07.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access.gpo.gov/ecfr/graphics/er13jn07.026.gif"/>
                    <pic:cNvPicPr>
                      <a:picLocks noChangeAspect="1" noChangeArrowheads="1"/>
                    </pic:cNvPicPr>
                  </pic:nvPicPr>
                  <pic:blipFill>
                    <a:blip r:embed="rId12" cstate="print"/>
                    <a:srcRect/>
                    <a:stretch>
                      <a:fillRect/>
                    </a:stretch>
                  </pic:blipFill>
                  <pic:spPr bwMode="auto">
                    <a:xfrm>
                      <a:off x="0" y="0"/>
                      <a:ext cx="1578610" cy="466090"/>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n</w:t>
      </w:r>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go</w:t>
      </w:r>
      <w:proofErr w:type="spellEnd"/>
      <w:r w:rsidRPr="00F16C03">
        <w:rPr>
          <w:rFonts w:ascii="Book Antiqua" w:eastAsia="Times New Roman" w:hAnsi="Book Antiqua" w:cs="Arial"/>
          <w:sz w:val="20"/>
          <w:szCs w:val="20"/>
        </w:rPr>
        <w:t>= 30-day heat input from combustion of natural gas or distillate oil;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r</w:t>
      </w:r>
      <w:r w:rsidRPr="00F16C03">
        <w:rPr>
          <w:rFonts w:ascii="Book Antiqua" w:eastAsia="Times New Roman" w:hAnsi="Book Antiqua" w:cs="Arial"/>
          <w:sz w:val="20"/>
          <w:szCs w:val="20"/>
        </w:rPr>
        <w:t>= 30-day heat input from combustion of any other fuel.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After February 27, 2006, units where more than 10 percent of total annual output is electrical or mechanical may comply with an optional limit of 270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(2.1 lb/</w:t>
      </w:r>
      <w:proofErr w:type="spellStart"/>
      <w:r w:rsidRPr="00F16C03">
        <w:rPr>
          <w:rFonts w:ascii="Book Antiqua" w:eastAsia="Times New Roman" w:hAnsi="Book Antiqua" w:cs="Arial"/>
          <w:sz w:val="20"/>
          <w:szCs w:val="20"/>
        </w:rPr>
        <w:t>MWh</w:t>
      </w:r>
      <w:proofErr w:type="spellEnd"/>
      <w:r w:rsidRPr="00F16C03">
        <w:rPr>
          <w:rFonts w:ascii="Book Antiqua" w:eastAsia="Times New Roman" w:hAnsi="Book Antiqua" w:cs="Arial"/>
          <w:sz w:val="20"/>
          <w:szCs w:val="20"/>
        </w:rPr>
        <w:t>) gross energy output, based on a 30-day rolling average. Units complying with this output-based limit must demonstrate compliance according to the procedures of §</w:t>
      </w:r>
      <w:proofErr w:type="gramStart"/>
      <w:r w:rsidRPr="00F16C03">
        <w:rPr>
          <w:rFonts w:ascii="Book Antiqua" w:eastAsia="Times New Roman" w:hAnsi="Book Antiqua" w:cs="Arial"/>
          <w:sz w:val="20"/>
          <w:szCs w:val="20"/>
        </w:rPr>
        <w:t>60.48Da(</w:t>
      </w:r>
      <w:proofErr w:type="spellStart"/>
      <w:proofErr w:type="gramEnd"/>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of subpart </w:t>
      </w:r>
      <w:proofErr w:type="spellStart"/>
      <w:r w:rsidRPr="00F16C03">
        <w:rPr>
          <w:rFonts w:ascii="Book Antiqua" w:eastAsia="Times New Roman" w:hAnsi="Book Antiqua" w:cs="Arial"/>
          <w:sz w:val="20"/>
          <w:szCs w:val="20"/>
        </w:rPr>
        <w:t>Da</w:t>
      </w:r>
      <w:proofErr w:type="spellEnd"/>
      <w:r w:rsidRPr="00F16C03">
        <w:rPr>
          <w:rFonts w:ascii="Book Antiqua" w:eastAsia="Times New Roman" w:hAnsi="Book Antiqua" w:cs="Arial"/>
          <w:sz w:val="20"/>
          <w:szCs w:val="20"/>
        </w:rPr>
        <w:t xml:space="preserve"> of this part, and must monitor emissions according to §60.49Da(c), (k), through (n) of subpart </w:t>
      </w:r>
      <w:proofErr w:type="spellStart"/>
      <w:r w:rsidRPr="00F16C03">
        <w:rPr>
          <w:rFonts w:ascii="Book Antiqua" w:eastAsia="Times New Roman" w:hAnsi="Book Antiqua" w:cs="Arial"/>
          <w:sz w:val="20"/>
          <w:szCs w:val="20"/>
        </w:rPr>
        <w:t>Da</w:t>
      </w:r>
      <w:proofErr w:type="spellEnd"/>
      <w:r w:rsidRPr="00F16C03">
        <w:rPr>
          <w:rFonts w:ascii="Book Antiqua" w:eastAsia="Times New Roman" w:hAnsi="Book Antiqua" w:cs="Arial"/>
          <w:sz w:val="20"/>
          <w:szCs w:val="20"/>
        </w:rPr>
        <w:t xml:space="preserve">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5086, Jan. 28, 2009]</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r w:rsidRPr="00F16C03">
        <w:rPr>
          <w:rFonts w:ascii="Book Antiqua" w:eastAsia="Times New Roman" w:hAnsi="Book Antiqua" w:cs="Arial"/>
          <w:b/>
          <w:bCs/>
          <w:sz w:val="20"/>
          <w:szCs w:val="20"/>
        </w:rPr>
        <w:t>§ 60.45b   Compliance and performance test methods and procedures for sulfur dioxide.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standards in §60.42b apply at all times. Facilities burning coke oven gas alone or in combination with any other gaseous fuels or distillate oil are allowed to exceed the limit 30 operating days per calendar year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 maintenance.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In conducting the performance tests required under §60.8, the owner or operator shall use the methods and procedures in appendix A (including fuel certification and sampling) of this part or the methods and procedures as specified in this section, except as provided in §60.8(b). Section 60.8(f) does not apply to this section. The 30-day notice required in §60.8(d) applies only to the initial performance test unless otherwise specified by the Administrator.</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(c) The owner or operator of an affected facility shall conduct performance tests to determine compliance with the percent of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 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and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(E</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pursuant to §60.42b following the procedures listed below, except as provided under paragraph (d) and (k)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initial performance test shall be conducted over 30 consecutive operating days of the steam generating unit. Compliance with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standards shall be determined using a 30-day average. The first operating day included in the initial performance test shall be scheduled within 30 days after achieving the maximum production rate at which the affected facility will be operated, but not later than 180 days after initial startup of the facility.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If only coal, only oil, or a mixture of coal and oil is combusted, the following procedures are used: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procedures in Method 19 of appendix A–7 of this part are used to determine the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ho</w:t>
      </w:r>
      <w:proofErr w:type="spellEnd"/>
      <w:r w:rsidRPr="00F16C03">
        <w:rPr>
          <w:rFonts w:ascii="Book Antiqua" w:eastAsia="Times New Roman" w:hAnsi="Book Antiqua" w:cs="Arial"/>
          <w:sz w:val="20"/>
          <w:szCs w:val="20"/>
        </w:rPr>
        <w:t>) and the 30-day average emission rate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ao</w:t>
      </w:r>
      <w:proofErr w:type="spellEnd"/>
      <w:r w:rsidRPr="00F16C03">
        <w:rPr>
          <w:rFonts w:ascii="Book Antiqua" w:eastAsia="Times New Roman" w:hAnsi="Book Antiqua" w:cs="Arial"/>
          <w:sz w:val="20"/>
          <w:szCs w:val="20"/>
        </w:rPr>
        <w:t>). The hourly averages used to compute the 30-day averages are obtained from the CEMS of §</w:t>
      </w:r>
      <w:proofErr w:type="gramStart"/>
      <w:r w:rsidRPr="00F16C03">
        <w:rPr>
          <w:rFonts w:ascii="Book Antiqua" w:eastAsia="Times New Roman" w:hAnsi="Book Antiqua" w:cs="Arial"/>
          <w:sz w:val="20"/>
          <w:szCs w:val="20"/>
        </w:rPr>
        <w:t>60.47b(</w:t>
      </w:r>
      <w:proofErr w:type="gramEnd"/>
      <w:r w:rsidRPr="00F16C03">
        <w:rPr>
          <w:rFonts w:ascii="Book Antiqua" w:eastAsia="Times New Roman" w:hAnsi="Book Antiqua" w:cs="Arial"/>
          <w:sz w:val="20"/>
          <w:szCs w:val="20"/>
        </w:rPr>
        <w:t>a) or (b).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The percent of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emitted to the atmosphere is computed using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716405" cy="422910"/>
            <wp:effectExtent l="19050" t="0" r="0" b="0"/>
            <wp:docPr id="6" name="Picture 6" descr="http://www.access.gpo.gov/ecfr/graphics/er13jn07.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access.gpo.gov/ecfr/graphics/er13jn07.027.gif"/>
                    <pic:cNvPicPr>
                      <a:picLocks noChangeAspect="1" noChangeArrowheads="1"/>
                    </pic:cNvPicPr>
                  </pic:nvPicPr>
                  <pic:blipFill>
                    <a:blip r:embed="rId13" cstate="print"/>
                    <a:srcRect/>
                    <a:stretch>
                      <a:fillRect/>
                    </a:stretch>
                  </pic:blipFill>
                  <pic:spPr bwMode="auto">
                    <a:xfrm>
                      <a:off x="0" y="0"/>
                      <a:ext cx="1716405" cy="422910"/>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percent;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R</w:t>
      </w:r>
      <w:r w:rsidRPr="00F16C03">
        <w:rPr>
          <w:rFonts w:ascii="Book Antiqua" w:eastAsia="Times New Roman" w:hAnsi="Book Antiqua" w:cs="Arial"/>
          <w:sz w:val="20"/>
          <w:szCs w:val="20"/>
          <w:vertAlign w:val="subscript"/>
        </w:rPr>
        <w:t>g</w:t>
      </w:r>
      <w:proofErr w:type="spellEnd"/>
      <w:r w:rsidRPr="00F16C03">
        <w:rPr>
          <w:rFonts w:ascii="Book Antiqua" w:eastAsia="Times New Roman" w:hAnsi="Book Antiqua" w:cs="Arial"/>
          <w:sz w:val="20"/>
          <w:szCs w:val="20"/>
        </w:rPr>
        <w: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removal efficiency of the control device as determined by Method 19 of appendix A of this part, in percent;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proofErr w:type="gramStart"/>
      <w:r w:rsidRPr="00F16C03">
        <w:rPr>
          <w:rFonts w:ascii="Book Antiqua" w:eastAsia="Times New Roman" w:hAnsi="Book Antiqua" w:cs="Arial"/>
          <w:sz w:val="20"/>
          <w:szCs w:val="20"/>
        </w:rPr>
        <w:t>R</w:t>
      </w:r>
      <w:r w:rsidRPr="00F16C03">
        <w:rPr>
          <w:rFonts w:ascii="Book Antiqua" w:eastAsia="Times New Roman" w:hAnsi="Book Antiqua" w:cs="Arial"/>
          <w:sz w:val="20"/>
          <w:szCs w:val="20"/>
          <w:vertAlign w:val="subscript"/>
        </w:rPr>
        <w:t>f</w:t>
      </w:r>
      <w:proofErr w:type="spellEnd"/>
      <w:proofErr w:type="gramEnd"/>
      <w:r w:rsidRPr="00F16C03">
        <w:rPr>
          <w:rFonts w:ascii="Book Antiqua" w:eastAsia="Times New Roman" w:hAnsi="Book Antiqua" w:cs="Arial"/>
          <w:sz w:val="20"/>
          <w:szCs w:val="20"/>
        </w:rPr>
        <w: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removal efficiency of fuel pretreatment as determined by Method 19 of appendix A of this part, in percent.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If coal or oil is combusted with other fuels, the same procedures required in paragraph (c</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of this section are used, except as provided in the following:</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An adjusted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w:t>
      </w:r>
      <w:proofErr w:type="spellStart"/>
      <w:proofErr w:type="gram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ho</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w:t>
      </w:r>
      <w:proofErr w:type="gramEnd"/>
      <w:r w:rsidRPr="00F16C03">
        <w:rPr>
          <w:rFonts w:ascii="Book Antiqua" w:eastAsia="Times New Roman" w:hAnsi="Book Antiqua" w:cs="Arial"/>
          <w:sz w:val="20"/>
          <w:szCs w:val="20"/>
        </w:rPr>
        <w:t xml:space="preserve"> is used in Equation 19–19 of Method 19 of appendix A of this part to compute an adjusted 30-day average emission rate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ao</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 The </w:t>
      </w:r>
      <w:proofErr w:type="spellStart"/>
      <w:r w:rsidRPr="00F16C03">
        <w:rPr>
          <w:rFonts w:ascii="Book Antiqua" w:eastAsia="Times New Roman" w:hAnsi="Book Antiqua" w:cs="Arial"/>
          <w:sz w:val="20"/>
          <w:szCs w:val="20"/>
        </w:rPr>
        <w:t>Eho</w:t>
      </w:r>
      <w:proofErr w:type="spellEnd"/>
      <w:r w:rsidRPr="00F16C03">
        <w:rPr>
          <w:rFonts w:ascii="Book Antiqua" w:eastAsia="Times New Roman" w:hAnsi="Book Antiqua" w:cs="Arial"/>
          <w:sz w:val="20"/>
          <w:szCs w:val="20"/>
        </w:rPr>
        <w:t>° is computed using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190625" cy="387985"/>
            <wp:effectExtent l="19050" t="0" r="9525" b="0"/>
            <wp:docPr id="7" name="Picture 7" descr="http://www.access.gpo.gov/ecfr/graphics/er13jn07.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access.gpo.gov/ecfr/graphics/er13jn07.028.gif"/>
                    <pic:cNvPicPr>
                      <a:picLocks noChangeAspect="1" noChangeArrowheads="1"/>
                    </pic:cNvPicPr>
                  </pic:nvPicPr>
                  <pic:blipFill>
                    <a:blip r:embed="rId14" cstate="print"/>
                    <a:srcRect/>
                    <a:stretch>
                      <a:fillRect/>
                    </a:stretch>
                  </pic:blipFill>
                  <pic:spPr bwMode="auto">
                    <a:xfrm>
                      <a:off x="0" y="0"/>
                      <a:ext cx="1190625" cy="387985"/>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ho</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 Adjusted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ho</w:t>
      </w:r>
      <w:proofErr w:type="spellEnd"/>
      <w:r w:rsidRPr="00F16C03">
        <w:rPr>
          <w:rFonts w:ascii="Book Antiqua" w:eastAsia="Times New Roman" w:hAnsi="Book Antiqua" w:cs="Arial"/>
          <w:sz w:val="20"/>
          <w:szCs w:val="20"/>
        </w:rPr>
        <w:t>=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w</w:t>
      </w:r>
      <w:proofErr w:type="spellEnd"/>
      <w:r w:rsidRPr="00F16C03">
        <w:rPr>
          <w:rFonts w:ascii="Book Antiqua" w:eastAsia="Times New Roman" w:hAnsi="Book Antiqua" w:cs="Arial"/>
          <w:sz w:val="20"/>
          <w:szCs w:val="20"/>
        </w:rPr>
        <w: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concentration in fuels other than coal and oil combusted in the affected facility, as determined by the fuel sampling and analysis procedures in Method 19 of appendix A of this part,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The value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w</w:t>
      </w:r>
      <w:r w:rsidRPr="00F16C03">
        <w:rPr>
          <w:rFonts w:ascii="Book Antiqua" w:eastAsia="Times New Roman" w:hAnsi="Book Antiqua" w:cs="Arial"/>
          <w:sz w:val="20"/>
          <w:szCs w:val="20"/>
        </w:rPr>
        <w:t>for</w:t>
      </w:r>
      <w:proofErr w:type="spellEnd"/>
      <w:r w:rsidRPr="00F16C03">
        <w:rPr>
          <w:rFonts w:ascii="Book Antiqua" w:eastAsia="Times New Roman" w:hAnsi="Book Antiqua" w:cs="Arial"/>
          <w:sz w:val="20"/>
          <w:szCs w:val="20"/>
        </w:rPr>
        <w:t xml:space="preserve"> each fuel lot is used for each hourly average during the time that the lot is being combusted;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X</w:t>
      </w:r>
      <w:r w:rsidRPr="00F16C03">
        <w:rPr>
          <w:rFonts w:ascii="Book Antiqua" w:eastAsia="Times New Roman" w:hAnsi="Book Antiqua" w:cs="Arial"/>
          <w:sz w:val="20"/>
          <w:szCs w:val="20"/>
          <w:vertAlign w:val="subscript"/>
        </w:rPr>
        <w:t>k</w:t>
      </w:r>
      <w:proofErr w:type="spellEnd"/>
      <w:r w:rsidRPr="00F16C03">
        <w:rPr>
          <w:rFonts w:ascii="Book Antiqua" w:eastAsia="Times New Roman" w:hAnsi="Book Antiqua" w:cs="Arial"/>
          <w:sz w:val="20"/>
          <w:szCs w:val="20"/>
        </w:rPr>
        <w:t>= Fraction of total heat input from fuel combustion derived from coal, oil, or coal and oil, as determined by applicable procedures in Method 19 of appendix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To compute the percent of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an adjusted %</w:t>
      </w:r>
      <w:proofErr w:type="spellStart"/>
      <w:proofErr w:type="gramStart"/>
      <w:r w:rsidRPr="00F16C03">
        <w:rPr>
          <w:rFonts w:ascii="Book Antiqua" w:eastAsia="Times New Roman" w:hAnsi="Book Antiqua" w:cs="Arial"/>
          <w:sz w:val="20"/>
          <w:szCs w:val="20"/>
        </w:rPr>
        <w:t>R</w:t>
      </w:r>
      <w:r w:rsidRPr="00F16C03">
        <w:rPr>
          <w:rFonts w:ascii="Book Antiqua" w:eastAsia="Times New Roman" w:hAnsi="Book Antiqua" w:cs="Arial"/>
          <w:sz w:val="20"/>
          <w:szCs w:val="20"/>
          <w:vertAlign w:val="subscript"/>
        </w:rPr>
        <w:t>g</w:t>
      </w:r>
      <w:proofErr w:type="spellEnd"/>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R</w:t>
      </w:r>
      <w:r w:rsidRPr="00F16C03">
        <w:rPr>
          <w:rFonts w:ascii="Book Antiqua" w:eastAsia="Times New Roman" w:hAnsi="Book Antiqua" w:cs="Arial"/>
          <w:sz w:val="20"/>
          <w:szCs w:val="20"/>
          <w:vertAlign w:val="subscript"/>
        </w:rPr>
        <w:t>g</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 is computed from the adjusted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ao</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from paragraph (b)(3)(</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 and an adjusted average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inlet rate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ai</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 using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190625" cy="422910"/>
            <wp:effectExtent l="19050" t="0" r="9525" b="0"/>
            <wp:docPr id="8" name="Picture 8" descr="http://www.access.gpo.gov/ecfr/graphics/er13jn07.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www.access.gpo.gov/ecfr/graphics/er13jn07.029.gif"/>
                    <pic:cNvPicPr>
                      <a:picLocks noChangeAspect="1" noChangeArrowheads="1"/>
                    </pic:cNvPicPr>
                  </pic:nvPicPr>
                  <pic:blipFill>
                    <a:blip r:embed="rId15" cstate="print"/>
                    <a:srcRect/>
                    <a:stretch>
                      <a:fillRect/>
                    </a:stretch>
                  </pic:blipFill>
                  <pic:spPr bwMode="auto">
                    <a:xfrm>
                      <a:off x="0" y="0"/>
                      <a:ext cx="1190625" cy="422910"/>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 xml:space="preserve">To compute </w:t>
      </w:r>
      <w:proofErr w:type="spellStart"/>
      <w:proofErr w:type="gram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ai</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w:t>
      </w:r>
      <w:proofErr w:type="gramEnd"/>
      <w:r w:rsidRPr="00F16C03">
        <w:rPr>
          <w:rFonts w:ascii="Book Antiqua" w:eastAsia="Times New Roman" w:hAnsi="Book Antiqua" w:cs="Arial"/>
          <w:sz w:val="20"/>
          <w:szCs w:val="20"/>
        </w:rPr>
        <w:t xml:space="preserve"> an adjusted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inlet rate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hi</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 is used. The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hi</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is computed using the following formula:</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164590" cy="387985"/>
            <wp:effectExtent l="19050" t="0" r="0" b="0"/>
            <wp:docPr id="9" name="Picture 9" descr="http://www.access.gpo.gov/ecfr/graphics/er13jn07.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access.gpo.gov/ecfr/graphics/er13jn07.030.gif"/>
                    <pic:cNvPicPr>
                      <a:picLocks noChangeAspect="1" noChangeArrowheads="1"/>
                    </pic:cNvPicPr>
                  </pic:nvPicPr>
                  <pic:blipFill>
                    <a:blip r:embed="rId16" cstate="print"/>
                    <a:srcRect/>
                    <a:stretch>
                      <a:fillRect/>
                    </a:stretch>
                  </pic:blipFill>
                  <pic:spPr bwMode="auto">
                    <a:xfrm>
                      <a:off x="0" y="0"/>
                      <a:ext cx="1164590" cy="387985"/>
                    </a:xfrm>
                    <a:prstGeom prst="rect">
                      <a:avLst/>
                    </a:prstGeom>
                    <a:noFill/>
                    <a:ln w="9525">
                      <a:noFill/>
                      <a:miter lim="800000"/>
                      <a:headEnd/>
                      <a:tailEnd/>
                    </a:ln>
                  </pic:spPr>
                </pic:pic>
              </a:graphicData>
            </a:graphic>
          </wp:inline>
        </w:drawing>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hi</w:t>
      </w:r>
      <w:r w:rsidRPr="00F16C03">
        <w:rPr>
          <w:rFonts w:ascii="Book Antiqua" w:eastAsia="Times New Roman" w:hAnsi="Book Antiqua" w:cs="Arial"/>
          <w:sz w:val="20"/>
          <w:szCs w:val="20"/>
          <w:vertAlign w:val="superscript"/>
        </w:rPr>
        <w:t>o</w:t>
      </w:r>
      <w:proofErr w:type="spellEnd"/>
      <w:r w:rsidRPr="00F16C03">
        <w:rPr>
          <w:rFonts w:ascii="Book Antiqua" w:eastAsia="Times New Roman" w:hAnsi="Book Antiqua" w:cs="Arial"/>
          <w:sz w:val="20"/>
          <w:szCs w:val="20"/>
        </w:rPr>
        <w:t xml:space="preserve"> = Adjusted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inlet rate,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hi</w:t>
      </w:r>
      <w:proofErr w:type="spellEnd"/>
      <w:r w:rsidRPr="00F16C03">
        <w:rPr>
          <w:rFonts w:ascii="Book Antiqua" w:eastAsia="Times New Roman" w:hAnsi="Book Antiqua" w:cs="Arial"/>
          <w:sz w:val="20"/>
          <w:szCs w:val="20"/>
        </w:rPr>
        <w:t>=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inlet rate,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The owner or operator of an affected facility subject to paragraph (c)(3) of this section does not have to measure parameters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w</w:t>
      </w:r>
      <w:r w:rsidRPr="00F16C03">
        <w:rPr>
          <w:rFonts w:ascii="Book Antiqua" w:eastAsia="Times New Roman" w:hAnsi="Book Antiqua" w:cs="Arial"/>
          <w:sz w:val="20"/>
          <w:szCs w:val="20"/>
        </w:rPr>
        <w:t>or</w:t>
      </w:r>
      <w:proofErr w:type="spell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X</w:t>
      </w:r>
      <w:r w:rsidRPr="00F16C03">
        <w:rPr>
          <w:rFonts w:ascii="Book Antiqua" w:eastAsia="Times New Roman" w:hAnsi="Book Antiqua" w:cs="Arial"/>
          <w:sz w:val="20"/>
          <w:szCs w:val="20"/>
          <w:vertAlign w:val="subscript"/>
        </w:rPr>
        <w:t>k</w:t>
      </w:r>
      <w:r w:rsidRPr="00F16C03">
        <w:rPr>
          <w:rFonts w:ascii="Book Antiqua" w:eastAsia="Times New Roman" w:hAnsi="Book Antiqua" w:cs="Arial"/>
          <w:sz w:val="20"/>
          <w:szCs w:val="20"/>
        </w:rPr>
        <w:t>if</w:t>
      </w:r>
      <w:proofErr w:type="spellEnd"/>
      <w:r w:rsidRPr="00F16C03">
        <w:rPr>
          <w:rFonts w:ascii="Book Antiqua" w:eastAsia="Times New Roman" w:hAnsi="Book Antiqua" w:cs="Arial"/>
          <w:sz w:val="20"/>
          <w:szCs w:val="20"/>
        </w:rPr>
        <w:t xml:space="preserve"> the owner or operator elects to assume that </w:t>
      </w:r>
      <w:proofErr w:type="spellStart"/>
      <w:r w:rsidRPr="00F16C03">
        <w:rPr>
          <w:rFonts w:ascii="Book Antiqua" w:eastAsia="Times New Roman" w:hAnsi="Book Antiqua" w:cs="Arial"/>
          <w:sz w:val="20"/>
          <w:szCs w:val="20"/>
        </w:rPr>
        <w:t>X</w:t>
      </w:r>
      <w:r w:rsidRPr="00F16C03">
        <w:rPr>
          <w:rFonts w:ascii="Book Antiqua" w:eastAsia="Times New Roman" w:hAnsi="Book Antiqua" w:cs="Arial"/>
          <w:sz w:val="20"/>
          <w:szCs w:val="20"/>
          <w:vertAlign w:val="subscript"/>
        </w:rPr>
        <w:t>k</w:t>
      </w:r>
      <w:proofErr w:type="spellEnd"/>
      <w:r w:rsidRPr="00F16C03">
        <w:rPr>
          <w:rFonts w:ascii="Book Antiqua" w:eastAsia="Times New Roman" w:hAnsi="Book Antiqua" w:cs="Arial"/>
          <w:sz w:val="20"/>
          <w:szCs w:val="20"/>
        </w:rPr>
        <w:t xml:space="preserve">= 1.0. Owners or operators of affected facilities who assume </w:t>
      </w:r>
      <w:proofErr w:type="spellStart"/>
      <w:r w:rsidRPr="00F16C03">
        <w:rPr>
          <w:rFonts w:ascii="Book Antiqua" w:eastAsia="Times New Roman" w:hAnsi="Book Antiqua" w:cs="Arial"/>
          <w:sz w:val="20"/>
          <w:szCs w:val="20"/>
        </w:rPr>
        <w:t>X</w:t>
      </w:r>
      <w:r w:rsidRPr="00F16C03">
        <w:rPr>
          <w:rFonts w:ascii="Book Antiqua" w:eastAsia="Times New Roman" w:hAnsi="Book Antiqua" w:cs="Arial"/>
          <w:sz w:val="20"/>
          <w:szCs w:val="20"/>
          <w:vertAlign w:val="subscript"/>
        </w:rPr>
        <w:t>k</w:t>
      </w:r>
      <w:proofErr w:type="spellEnd"/>
      <w:r w:rsidRPr="00F16C03">
        <w:rPr>
          <w:rFonts w:ascii="Book Antiqua" w:eastAsia="Times New Roman" w:hAnsi="Book Antiqua" w:cs="Arial"/>
          <w:sz w:val="20"/>
          <w:szCs w:val="20"/>
        </w:rPr>
        <w:t>= 1.0 shall: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Determine %</w:t>
      </w:r>
      <w:proofErr w:type="spellStart"/>
      <w:r w:rsidRPr="00F16C03">
        <w:rPr>
          <w:rFonts w:ascii="Book Antiqua" w:eastAsia="Times New Roman" w:hAnsi="Book Antiqua" w:cs="Arial"/>
          <w:sz w:val="20"/>
          <w:szCs w:val="20"/>
        </w:rPr>
        <w:t>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following</w:t>
      </w:r>
      <w:proofErr w:type="spellEnd"/>
      <w:r w:rsidRPr="00F16C03">
        <w:rPr>
          <w:rFonts w:ascii="Book Antiqua" w:eastAsia="Times New Roman" w:hAnsi="Book Antiqua" w:cs="Arial"/>
          <w:sz w:val="20"/>
          <w:szCs w:val="20"/>
        </w:rPr>
        <w:t xml:space="preserve"> the procedures in paragraph (c</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of this section;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Sulfur dioxide emissions (E</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 are considered to be in compliance with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limits under §60.42b.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The owner or operator of an affected facility that qualifies under the provisions of §</w:t>
      </w:r>
      <w:proofErr w:type="gramStart"/>
      <w:r w:rsidRPr="00F16C03">
        <w:rPr>
          <w:rFonts w:ascii="Book Antiqua" w:eastAsia="Times New Roman" w:hAnsi="Book Antiqua" w:cs="Arial"/>
          <w:sz w:val="20"/>
          <w:szCs w:val="20"/>
        </w:rPr>
        <w:t>60.42b(</w:t>
      </w:r>
      <w:proofErr w:type="gramEnd"/>
      <w:r w:rsidRPr="00F16C03">
        <w:rPr>
          <w:rFonts w:ascii="Book Antiqua" w:eastAsia="Times New Roman" w:hAnsi="Book Antiqua" w:cs="Arial"/>
          <w:sz w:val="20"/>
          <w:szCs w:val="20"/>
        </w:rPr>
        <w:t xml:space="preserve">d) does not have to measure parameters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w</w:t>
      </w:r>
      <w:r w:rsidRPr="00F16C03">
        <w:rPr>
          <w:rFonts w:ascii="Book Antiqua" w:eastAsia="Times New Roman" w:hAnsi="Book Antiqua" w:cs="Arial"/>
          <w:sz w:val="20"/>
          <w:szCs w:val="20"/>
        </w:rPr>
        <w:t>or</w:t>
      </w:r>
      <w:proofErr w:type="spell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X</w:t>
      </w:r>
      <w:r w:rsidRPr="00F16C03">
        <w:rPr>
          <w:rFonts w:ascii="Book Antiqua" w:eastAsia="Times New Roman" w:hAnsi="Book Antiqua" w:cs="Arial"/>
          <w:sz w:val="20"/>
          <w:szCs w:val="20"/>
          <w:vertAlign w:val="subscript"/>
        </w:rPr>
        <w:t>k</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paragraph (c)(3) of this section if the owner or operator of the affected facility elects to measure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rates of the coal or oil following the fuel sampling and analysis procedures in Method 19 of appendix A–7 of this part.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(d) Except as provided in paragraph (j) of this section, the owner or operator of an affected facility that combusts only very low sulfur oil, natural gas, or a mixture of these fuels, has an annual capacity factor for oil of 10 percent (0.10) or less, and is subject to a federally enforceable requirement limiting operation of the affected facility to an annual capacity factor for oil of 10 percent (0.10) or less shall: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Conduct the initial performance test over 24 consecutive steam generating unit operating hours at full load;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Determine compliance with the standards after the initial performance test based on the arithmetic average of the hourly emissions data during each steam generating unit operating day if a CEMS is used, or based on a daily average if Method 6B of appendix A of this part or fuel sampling and analysis procedures under Method 19 of appendix A of this part are used.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 The owner or operator of an affected facility subject to §</w:t>
      </w:r>
      <w:proofErr w:type="gramStart"/>
      <w:r w:rsidRPr="00F16C03">
        <w:rPr>
          <w:rFonts w:ascii="Book Antiqua" w:eastAsia="Times New Roman" w:hAnsi="Book Antiqua" w:cs="Arial"/>
          <w:sz w:val="20"/>
          <w:szCs w:val="20"/>
        </w:rPr>
        <w:t>60.42b(</w:t>
      </w:r>
      <w:proofErr w:type="gramEnd"/>
      <w:r w:rsidRPr="00F16C03">
        <w:rPr>
          <w:rFonts w:ascii="Book Antiqua" w:eastAsia="Times New Roman" w:hAnsi="Book Antiqua" w:cs="Arial"/>
          <w:sz w:val="20"/>
          <w:szCs w:val="20"/>
        </w:rPr>
        <w:t>d)(1) shall demonstrate the maximum design capacity of the steam generating unit by operating the facility at maximum capacity for 24 hours. This demonstration will be made during the initial performance test and a subsequent demonstration may be requested at any other time. If the 24-hour average firing rate for the affected facility is less than the maximum design capacity provided by the manufacturer of the affected facility, the 24-hour average firing rate shall be used to determine the capacity utilization rate for the affected facility, otherwise the maximum design capacity provided by the manufacturer is used.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 For the initial performance test required under §60.8, compliance with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limits and percent reduction requirements under §60.42b is based on the average emission rates and the average percent reduction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for the first 30 consecutive steam generating unit operating days, except as provided under paragraph (d) of this section. The initial performance test is the only test for which at least 30 days prior notice is required unless otherwise specified by the Administrator. The initial performance test is to be scheduled so that the first steam generating unit operating day of the 30 successive steam generating unit operating days is completed within 30 days after achieving the maximum production rate at which the affected facility will be operated, but not later than 180 days after initial startup of the facility. The boiler load during the 30-day period does not have to be the maximum design load, but must be representative of future operating conditions and include at least one 24-hour period at full load.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(g) After the initial performance test required under §60.8, compliance with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limits and percent reduction requirements under §60.42b is based on the average emission rates and the average percent reduction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for 30 successive steam generating unit operating days, except as provided under paragraph (d). A separate performance test is completed at the end of each steam generating unit operating day after the initial performance test, and a new 30-day average emission rate and percent reduction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are calculated to show compliance with the standard.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 Except as provided under paragraph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 the owner or operator of an affected facility shall use all valid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data in calculating %</w:t>
      </w:r>
      <w:proofErr w:type="spellStart"/>
      <w:r w:rsidRPr="00F16C03">
        <w:rPr>
          <w:rFonts w:ascii="Book Antiqua" w:eastAsia="Times New Roman" w:hAnsi="Book Antiqua" w:cs="Arial"/>
          <w:sz w:val="20"/>
          <w:szCs w:val="20"/>
        </w:rPr>
        <w:t>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and</w:t>
      </w:r>
      <w:proofErr w:type="spell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ho</w:t>
      </w:r>
      <w:r w:rsidRPr="00F16C03">
        <w:rPr>
          <w:rFonts w:ascii="Book Antiqua" w:eastAsia="Times New Roman" w:hAnsi="Book Antiqua" w:cs="Arial"/>
          <w:sz w:val="20"/>
          <w:szCs w:val="20"/>
        </w:rPr>
        <w:t>under</w:t>
      </w:r>
      <w:proofErr w:type="spellEnd"/>
      <w:r w:rsidRPr="00F16C03">
        <w:rPr>
          <w:rFonts w:ascii="Book Antiqua" w:eastAsia="Times New Roman" w:hAnsi="Book Antiqua" w:cs="Arial"/>
          <w:sz w:val="20"/>
          <w:szCs w:val="20"/>
        </w:rPr>
        <w:t xml:space="preserve"> paragraph (c), of this section whether or not the minimum emissions data requirements under §60.46b are achieved. All valid emissions data, including valid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data collected during periods of startup, shutdown and malfunction, shall be used in calculating %</w:t>
      </w:r>
      <w:proofErr w:type="spellStart"/>
      <w:r w:rsidRPr="00F16C03">
        <w:rPr>
          <w:rFonts w:ascii="Book Antiqua" w:eastAsia="Times New Roman" w:hAnsi="Book Antiqua" w:cs="Arial"/>
          <w:sz w:val="20"/>
          <w:szCs w:val="20"/>
        </w:rPr>
        <w:t>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and</w:t>
      </w:r>
      <w:proofErr w:type="spell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ho</w:t>
      </w:r>
      <w:r w:rsidRPr="00F16C03">
        <w:rPr>
          <w:rFonts w:ascii="Book Antiqua" w:eastAsia="Times New Roman" w:hAnsi="Book Antiqua" w:cs="Arial"/>
          <w:sz w:val="20"/>
          <w:szCs w:val="20"/>
        </w:rPr>
        <w:t>pursuant</w:t>
      </w:r>
      <w:proofErr w:type="spellEnd"/>
      <w:r w:rsidRPr="00F16C03">
        <w:rPr>
          <w:rFonts w:ascii="Book Antiqua" w:eastAsia="Times New Roman" w:hAnsi="Book Antiqua" w:cs="Arial"/>
          <w:sz w:val="20"/>
          <w:szCs w:val="20"/>
        </w:rPr>
        <w:t xml:space="preserve"> to paragraph (c) of this section.</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During periods of malfunction or maintenance of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systems when oil is combusted as provided under §</w:t>
      </w:r>
      <w:proofErr w:type="gramStart"/>
      <w:r w:rsidRPr="00F16C03">
        <w:rPr>
          <w:rFonts w:ascii="Book Antiqua" w:eastAsia="Times New Roman" w:hAnsi="Book Antiqua" w:cs="Arial"/>
          <w:sz w:val="20"/>
          <w:szCs w:val="20"/>
        </w:rPr>
        <w:t>60.42b(</w:t>
      </w:r>
      <w:proofErr w:type="spellStart"/>
      <w:proofErr w:type="gramEnd"/>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emission data are not used to calculate %</w:t>
      </w:r>
      <w:proofErr w:type="spellStart"/>
      <w:r w:rsidRPr="00F16C03">
        <w:rPr>
          <w:rFonts w:ascii="Book Antiqua" w:eastAsia="Times New Roman" w:hAnsi="Book Antiqua" w:cs="Arial"/>
          <w:sz w:val="20"/>
          <w:szCs w:val="20"/>
        </w:rPr>
        <w:t>P</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or</w:t>
      </w:r>
      <w:proofErr w:type="spell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s</w:t>
      </w:r>
      <w:r w:rsidRPr="00F16C03">
        <w:rPr>
          <w:rFonts w:ascii="Book Antiqua" w:eastAsia="Times New Roman" w:hAnsi="Book Antiqua" w:cs="Arial"/>
          <w:sz w:val="20"/>
          <w:szCs w:val="20"/>
        </w:rPr>
        <w:t>under</w:t>
      </w:r>
      <w:proofErr w:type="spellEnd"/>
      <w:r w:rsidRPr="00F16C03">
        <w:rPr>
          <w:rFonts w:ascii="Book Antiqua" w:eastAsia="Times New Roman" w:hAnsi="Book Antiqua" w:cs="Arial"/>
          <w:sz w:val="20"/>
          <w:szCs w:val="20"/>
        </w:rPr>
        <w:t xml:space="preserve"> §60.42b(a), (b) or (c), however, the emissions data are used to determine compliance with the emission limit under §60.42b(</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(j) The owner or operator of an affected facility that only combusts very low sulfur oil, natural gas, or a mixture of these fuels with any other fuels not subject to an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standard is not subject to the compliance and performance testing requirements of this section if the owner or operator obtains fuel receipts as described in §60.49b(r).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(k) The owner or operator of an affected facility seeking to demonstrate compliance in §§</w:t>
      </w:r>
      <w:proofErr w:type="gramStart"/>
      <w:r w:rsidRPr="00F16C03">
        <w:rPr>
          <w:rFonts w:ascii="Book Antiqua" w:eastAsia="Times New Roman" w:hAnsi="Book Antiqua" w:cs="Arial"/>
          <w:sz w:val="20"/>
          <w:szCs w:val="20"/>
        </w:rPr>
        <w:t>60.42b(</w:t>
      </w:r>
      <w:proofErr w:type="gramEnd"/>
      <w:r w:rsidRPr="00F16C03">
        <w:rPr>
          <w:rFonts w:ascii="Book Antiqua" w:eastAsia="Times New Roman" w:hAnsi="Book Antiqua" w:cs="Arial"/>
          <w:sz w:val="20"/>
          <w:szCs w:val="20"/>
        </w:rPr>
        <w:t>d)(4), 60.42b(j), 60.42b(k)(2), and 60.42b(k)(3) (when not burning coal) shall follow the applicable procedures in §60.49b(r).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5086, Jan. 28, 2009]</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r w:rsidRPr="00F16C03">
        <w:rPr>
          <w:rFonts w:ascii="Book Antiqua" w:eastAsia="Times New Roman" w:hAnsi="Book Antiqua" w:cs="Arial"/>
          <w:b/>
          <w:bCs/>
          <w:sz w:val="20"/>
          <w:szCs w:val="20"/>
        </w:rPr>
        <w:t>§ 60.46b   Compliance and performance test methods and procedures for particulate matter and nitrogen oxides.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hyperlink r:id="rId17" w:history="1">
        <w:r w:rsidRPr="00F16C03">
          <w:rPr>
            <w:rFonts w:ascii="Book Antiqua" w:eastAsia="Times New Roman" w:hAnsi="Book Antiqua" w:cs="Arial"/>
            <w:color w:val="0000FF"/>
            <w:sz w:val="20"/>
            <w:szCs w:val="20"/>
            <w:u w:val="single"/>
          </w:rPr>
          <w:t>Link to an amendment published at 76 FR 3523, Jan. 20, 2011.</w:t>
        </w:r>
      </w:hyperlink>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(a) The PM emission standards and opacity limits under §60.43b apply at all times except during periods of startup, shutdown, or malfunction.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standards under §60.44b apply at all times.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Compliance with the PM emission standards under §60.43b shall be determined through performance testing as described in paragraph (d) of this section, except as provided in paragraph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(c)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standards under §60.44b shall be determined through performance testing under paragraph (e) or (f), or under paragraphs (g) and (h) of this section, as applicable.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(d) To determine compliance with the PM emission limits and opacity limits under §60.43b, the owner or operator of an affected facility shall conduct an initial performance test as required under §60.8, and shall conduct subsequent performance tests as requested by the Administrator, using the following procedures and reference methods: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Method 3A or 3B of appendix A–2 of this part is used for gas analysis when applying Method 5 of appendix A–3 of this part or Method 17 of appendix A–6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Method 5, 5B, or 17 of appendix A of this part shall be used to measure the concentration of PM as follows: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Method 5 of appendix A of this part shall be used at affected facilities without wet flue gas desulfurization (FGD) systems; and</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Method 17 of appendix A–6 of this part may be used at facilities with or without wet scrubber systems provided the stack gas temperature does not exceed a temperature of 160 °C (320 °F). The procedures of sections 8.1 and 11.1 of Method 5B of appendix A–3 of this part may be used in Method 17 of appendix A–6 of this part only if it is used after a wet FGD system. Do not use Method 17 of appendix A–6 of this part after wet FGD systems if the effluent is saturated or laden with water droplets.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Method 5B of appendix A of this part is to be used only after wet FGD systems.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Method 1 of appendix A of this part is used to select the sampling site and the number of traverse sampling points. The sampling time for each run is at least 120 minutes and the minimum sampling volume is 1.7 </w:t>
      </w:r>
      <w:proofErr w:type="spellStart"/>
      <w:r w:rsidRPr="00F16C03">
        <w:rPr>
          <w:rFonts w:ascii="Book Antiqua" w:eastAsia="Times New Roman" w:hAnsi="Book Antiqua" w:cs="Arial"/>
          <w:sz w:val="20"/>
          <w:szCs w:val="20"/>
        </w:rPr>
        <w:t>dscm</w:t>
      </w:r>
      <w:proofErr w:type="spellEnd"/>
      <w:r w:rsidRPr="00F16C03">
        <w:rPr>
          <w:rFonts w:ascii="Book Antiqua" w:eastAsia="Times New Roman" w:hAnsi="Book Antiqua" w:cs="Arial"/>
          <w:sz w:val="20"/>
          <w:szCs w:val="20"/>
        </w:rPr>
        <w:t xml:space="preserve"> (60 dscf) except that smaller sampling times or volumes may be approved by the Administrator when necessitated by process variables or other factors.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For Method 5 of appendix A of this part, the temperature of the sample gas in the probe and filter holder is monitored and is maintained at 160±14 °C (320±25 °F).</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For determination of PM emissions, the oxygen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sample is obtained simultaneously with each run of Method 5, 5B, or 17 of appendix A of this part by traversing the duct at the same sampling location.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(6) For each run using Method 5, 5B, or 17 of appendix A of this part, the emission rate expressed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heat input is determined using:</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measurements and PM measurements obtained under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The dry basis F factor;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The dry basis emission rate calculation procedure contained in Method 19 of appendix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 Method 9 of appendix A of this part is used for determining the opacity of stack emissions.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(e) To determine compliance with the emission limits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required</w:t>
      </w:r>
      <w:proofErr w:type="spellEnd"/>
      <w:r w:rsidRPr="00F16C03">
        <w:rPr>
          <w:rFonts w:ascii="Book Antiqua" w:eastAsia="Times New Roman" w:hAnsi="Book Antiqua" w:cs="Arial"/>
          <w:sz w:val="20"/>
          <w:szCs w:val="20"/>
        </w:rPr>
        <w:t xml:space="preserve"> under §60.44b, the owner or operator of an affected facility shall conduct the performance test as required under §60.8 using the continuous system for monitoring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under</w:t>
      </w:r>
      <w:proofErr w:type="spellEnd"/>
      <w:r w:rsidRPr="00F16C03">
        <w:rPr>
          <w:rFonts w:ascii="Book Antiqua" w:eastAsia="Times New Roman" w:hAnsi="Book Antiqua" w:cs="Arial"/>
          <w:sz w:val="20"/>
          <w:szCs w:val="20"/>
        </w:rPr>
        <w:t xml:space="preserve"> §60.48(b).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For the initial compliance test,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from</w:t>
      </w:r>
      <w:proofErr w:type="spellEnd"/>
      <w:r w:rsidRPr="00F16C03">
        <w:rPr>
          <w:rFonts w:ascii="Book Antiqua" w:eastAsia="Times New Roman" w:hAnsi="Book Antiqua" w:cs="Arial"/>
          <w:sz w:val="20"/>
          <w:szCs w:val="20"/>
        </w:rPr>
        <w:t xml:space="preserve"> the steam generating unit are monitored for 30 successive steam generating unit operating days and the 30-day average emission rate is used to determine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standards under §60.44b. The 30-day average emission rate is calculated as the average of all hourly emissions data recorded by the monitoring system during the 30-day test period.</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Following the date on which the initial performance test is completed or is required to be completed in §60.8, whichever date comes first, the owner or operator of an affected facility which combusts coal (except as specified under §</w:t>
      </w:r>
      <w:proofErr w:type="gramStart"/>
      <w:r w:rsidRPr="00F16C03">
        <w:rPr>
          <w:rFonts w:ascii="Book Antiqua" w:eastAsia="Times New Roman" w:hAnsi="Book Antiqua" w:cs="Arial"/>
          <w:sz w:val="20"/>
          <w:szCs w:val="20"/>
        </w:rPr>
        <w:t>60.46b(</w:t>
      </w:r>
      <w:proofErr w:type="gramEnd"/>
      <w:r w:rsidRPr="00F16C03">
        <w:rPr>
          <w:rFonts w:ascii="Book Antiqua" w:eastAsia="Times New Roman" w:hAnsi="Book Antiqua" w:cs="Arial"/>
          <w:sz w:val="20"/>
          <w:szCs w:val="20"/>
        </w:rPr>
        <w:t xml:space="preserve">e)(4)) or which combusts residual oil having a nitrogen content greater than 0.30 weight percent shall determine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standards in §60.44b on a continuous basis through the use of a 30-day rolling average emission rate. A new 30-day rolling average emission rate is calculated for each steam generating unit operating day as the average of all of the hourly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data for the preceding 30 steam generating unit operating days.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Following the date on which the initial performance test is completed or is required to be completed under §60.8, whichever date comes first, the owner or operator of an affected facility that has a heat input capacity greater than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/hr) and that combusts natural gas, distillate oil, or residual oil having a nitrogen content of 0.30 weight percent or less shall determine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under §60.44b on a continuous basis through the use of a 30-day rolling average emission rate. A new 30-day rolling average emission rate is calculated each steam generating unit operating day as the average of all of the hourly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data for the preceding 30 steam generating unit operating days.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Following the date on which the initial performance test is completed or required to be completed under §60.8, whichever date comes first, the owner or operator of an affected facility that has a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/hr) or less and that combusts natural gas, distillate oil, gasified coal, or residual oil having a nitrogen content of 0.30 weight percent or less shall upon request determine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in §60.44b through the use of a 30-day performance test. During periods when performance tests are not requested,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data collected pursuant to §60.48b(g)(1) or §60.48b(g)(2) are used to calculate a 30-day rolling average emission rate on a daily basis and used to prepare excess emission reports, but will not be used to determine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standards. A new 30-day rolling average emission rate is calculated each steam generating unit operating day as the average of all of the hourly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data for the preceding 30 steam generating unit operating days.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If the owner or operator of an affected facility that combusts residual oil does not sample and analyze the residual oil for nitrogen content, as specified in §60.49b(e), the requirements of §60.48b(g)(1) apply and the provisions of §60.48b(g)(2) are inapplicable.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(f) To determine compliance with the emissions limits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required</w:t>
      </w:r>
      <w:proofErr w:type="spellEnd"/>
      <w:r w:rsidRPr="00F16C03">
        <w:rPr>
          <w:rFonts w:ascii="Book Antiqua" w:eastAsia="Times New Roman" w:hAnsi="Book Antiqua" w:cs="Arial"/>
          <w:sz w:val="20"/>
          <w:szCs w:val="20"/>
        </w:rPr>
        <w:t xml:space="preserve"> by §60.44b(a)(4) or §60.44b(l) for duct burners used in combined cycle systems, either of the procedures described in paragraph (f)(1) or (2) of this section may be used: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owner or operator of an affected facility shall conduct the performance test required under §60.8 as follows: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The emissions rate (E) of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shall</w:t>
      </w:r>
      <w:proofErr w:type="spellEnd"/>
      <w:r w:rsidRPr="00F16C03">
        <w:rPr>
          <w:rFonts w:ascii="Book Antiqua" w:eastAsia="Times New Roman" w:hAnsi="Book Antiqua" w:cs="Arial"/>
          <w:sz w:val="20"/>
          <w:szCs w:val="20"/>
        </w:rPr>
        <w:t xml:space="preserve"> </w:t>
      </w:r>
      <w:proofErr w:type="gramStart"/>
      <w:r w:rsidRPr="00F16C03">
        <w:rPr>
          <w:rFonts w:ascii="Book Antiqua" w:eastAsia="Times New Roman" w:hAnsi="Book Antiqua" w:cs="Arial"/>
          <w:sz w:val="20"/>
          <w:szCs w:val="20"/>
        </w:rPr>
        <w:t>be</w:t>
      </w:r>
      <w:proofErr w:type="gramEnd"/>
      <w:r w:rsidRPr="00F16C03">
        <w:rPr>
          <w:rFonts w:ascii="Book Antiqua" w:eastAsia="Times New Roman" w:hAnsi="Book Antiqua" w:cs="Arial"/>
          <w:sz w:val="20"/>
          <w:szCs w:val="20"/>
        </w:rPr>
        <w:t xml:space="preserve"> computed using Equation 1 in this section:</w:t>
      </w:r>
    </w:p>
    <w:p w:rsidR="00F16C03" w:rsidRPr="00F16C03" w:rsidRDefault="00F16C03" w:rsidP="00F16C03">
      <w:pPr>
        <w:spacing w:after="240" w:line="240" w:lineRule="auto"/>
        <w:rPr>
          <w:rFonts w:ascii="Book Antiqua" w:eastAsia="Times New Roman" w:hAnsi="Book Antiqua" w:cs="Arial"/>
          <w:sz w:val="20"/>
          <w:szCs w:val="20"/>
        </w:rPr>
      </w:pPr>
      <w:r w:rsidRPr="00F16C03">
        <w:rPr>
          <w:rFonts w:ascii="Book Antiqua" w:eastAsia="Times New Roman" w:hAnsi="Book Antiqua" w:cs="Arial"/>
          <w:noProof/>
          <w:sz w:val="20"/>
          <w:szCs w:val="20"/>
        </w:rPr>
        <w:drawing>
          <wp:inline distT="0" distB="0" distL="0" distR="0">
            <wp:extent cx="1906270" cy="422910"/>
            <wp:effectExtent l="19050" t="0" r="0" b="0"/>
            <wp:docPr id="10" name="Picture 10" descr="http://www.access.gpo.gov/ecfr/graphics/er13jn07.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www.access.gpo.gov/ecfr/graphics/er13jn07.031.gif"/>
                    <pic:cNvPicPr>
                      <a:picLocks noChangeAspect="1" noChangeArrowheads="1"/>
                    </pic:cNvPicPr>
                  </pic:nvPicPr>
                  <pic:blipFill>
                    <a:blip r:embed="rId18" cstate="print"/>
                    <a:srcRect/>
                    <a:stretch>
                      <a:fillRect/>
                    </a:stretch>
                  </pic:blipFill>
                  <pic:spPr bwMode="auto">
                    <a:xfrm>
                      <a:off x="0" y="0"/>
                      <a:ext cx="1906270" cy="422910"/>
                    </a:xfrm>
                    <a:prstGeom prst="rect">
                      <a:avLst/>
                    </a:prstGeom>
                    <a:noFill/>
                    <a:ln w="9525">
                      <a:noFill/>
                      <a:miter lim="800000"/>
                      <a:headEnd/>
                      <a:tailEnd/>
                    </a:ln>
                  </pic:spPr>
                </pic:pic>
              </a:graphicData>
            </a:graphic>
          </wp:inline>
        </w:drawing>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Times New Roman"/>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E = Emissions rate of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from</w:t>
      </w:r>
      <w:proofErr w:type="spellEnd"/>
      <w:r w:rsidRPr="00F16C03">
        <w:rPr>
          <w:rFonts w:ascii="Book Antiqua" w:eastAsia="Times New Roman" w:hAnsi="Book Antiqua" w:cs="Arial"/>
          <w:sz w:val="20"/>
          <w:szCs w:val="20"/>
        </w:rPr>
        <w:t xml:space="preserve"> the duct burner,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sg</w:t>
      </w:r>
      <w:proofErr w:type="spellEnd"/>
      <w:r w:rsidRPr="00F16C03">
        <w:rPr>
          <w:rFonts w:ascii="Book Antiqua" w:eastAsia="Times New Roman" w:hAnsi="Book Antiqua" w:cs="Arial"/>
          <w:sz w:val="20"/>
          <w:szCs w:val="20"/>
        </w:rPr>
        <w:t xml:space="preserve">= Combined effluent emissions rate,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using appropriate F factor as described in Method 19 of appendix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g</w:t>
      </w:r>
      <w:r w:rsidRPr="00F16C03">
        <w:rPr>
          <w:rFonts w:ascii="Book Antiqua" w:eastAsia="Times New Roman" w:hAnsi="Book Antiqua" w:cs="Arial"/>
          <w:sz w:val="20"/>
          <w:szCs w:val="20"/>
        </w:rPr>
        <w:t>= Heat input rate to the combustion turbine, in J/hr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H</w:t>
      </w:r>
      <w:r w:rsidRPr="00F16C03">
        <w:rPr>
          <w:rFonts w:ascii="Book Antiqua" w:eastAsia="Times New Roman" w:hAnsi="Book Antiqua" w:cs="Arial"/>
          <w:sz w:val="20"/>
          <w:szCs w:val="20"/>
          <w:vertAlign w:val="subscript"/>
        </w:rPr>
        <w:t>b</w:t>
      </w:r>
      <w:proofErr w:type="spellEnd"/>
      <w:r w:rsidRPr="00F16C03">
        <w:rPr>
          <w:rFonts w:ascii="Book Antiqua" w:eastAsia="Times New Roman" w:hAnsi="Book Antiqua" w:cs="Arial"/>
          <w:sz w:val="20"/>
          <w:szCs w:val="20"/>
        </w:rPr>
        <w:t>= Heat input rate to the duct burner, in J/hr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spellStart"/>
      <w:r w:rsidRPr="00F16C03">
        <w:rPr>
          <w:rFonts w:ascii="Book Antiqua" w:eastAsia="Times New Roman" w:hAnsi="Book Antiqua" w:cs="Arial"/>
          <w:sz w:val="20"/>
          <w:szCs w:val="20"/>
        </w:rPr>
        <w:t>E</w:t>
      </w:r>
      <w:r w:rsidRPr="00F16C03">
        <w:rPr>
          <w:rFonts w:ascii="Book Antiqua" w:eastAsia="Times New Roman" w:hAnsi="Book Antiqua" w:cs="Arial"/>
          <w:sz w:val="20"/>
          <w:szCs w:val="20"/>
          <w:vertAlign w:val="subscript"/>
        </w:rPr>
        <w:t>g</w:t>
      </w:r>
      <w:proofErr w:type="spellEnd"/>
      <w:r w:rsidRPr="00F16C03">
        <w:rPr>
          <w:rFonts w:ascii="Book Antiqua" w:eastAsia="Times New Roman" w:hAnsi="Book Antiqua" w:cs="Arial"/>
          <w:sz w:val="20"/>
          <w:szCs w:val="20"/>
        </w:rPr>
        <w:t xml:space="preserve">= Emissions rate from the combustion turbine,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 calculated using appropriate F factor as described in Method 19 of appendix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Method 7E of appendix A of this part shall be used to determine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concentrations</w:t>
      </w:r>
      <w:proofErr w:type="spellEnd"/>
      <w:r w:rsidRPr="00F16C03">
        <w:rPr>
          <w:rFonts w:ascii="Book Antiqua" w:eastAsia="Times New Roman" w:hAnsi="Book Antiqua" w:cs="Arial"/>
          <w:sz w:val="20"/>
          <w:szCs w:val="20"/>
        </w:rPr>
        <w:t>. Method 3A or 3B of appendix A of this part shall be used to determine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concentration.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The owner or operator shall identify and demonstrate to the Administrator's satisfaction suitable methods to determine the average hourly heat input rate to the combustion turbine and the average hourly heat input rate to the affected duct burner.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(iv) Compliance with the emissions limits under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a)(4) or §60.44b(l) is determined by the three-run average (nominal 1-hour runs) for the initial and subsequent performance tests;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The owner or operator of an affected facility may elect to determine compliance on a 30-day rolling average basis by using the CEMS specified under §60.48b for measuring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and</w:t>
      </w:r>
      <w:proofErr w:type="spellEnd"/>
      <w:r w:rsidRPr="00F16C03">
        <w:rPr>
          <w:rFonts w:ascii="Book Antiqua" w:eastAsia="Times New Roman" w:hAnsi="Book Antiqua" w:cs="Arial"/>
          <w:sz w:val="20"/>
          <w:szCs w:val="20"/>
        </w:rPr>
        <w:t xml:space="preserve">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and meet the requirements of §60.48b. The sampling site shall be located at the outlet from the steam generating unit.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rate at the outlet from the steam generating unit shall constitute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rate from the duct burner of the combined cycle system.</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(g) The owner or operator of an affected facility described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 xml:space="preserve">j) or §60.44b(k) shall demonstrate the maximum heat input capacity of the steam generating unit by operating the facility at maximum capacity for 24 hours. The owner or operator of an affected facility shall determine the maximum heat input capacity using the heat loss method or the heat input method described in sections 5 and 7.3 of the ASME </w:t>
      </w:r>
      <w:r w:rsidRPr="00F16C03">
        <w:rPr>
          <w:rFonts w:ascii="Book Antiqua" w:eastAsia="Times New Roman" w:hAnsi="Book Antiqua" w:cs="Arial"/>
          <w:i/>
          <w:iCs/>
          <w:sz w:val="20"/>
          <w:szCs w:val="20"/>
        </w:rPr>
        <w:t xml:space="preserve">Power Test Codes </w:t>
      </w:r>
      <w:r w:rsidRPr="00F16C03">
        <w:rPr>
          <w:rFonts w:ascii="Book Antiqua" w:eastAsia="Times New Roman" w:hAnsi="Book Antiqua" w:cs="Arial"/>
          <w:sz w:val="20"/>
          <w:szCs w:val="20"/>
        </w:rPr>
        <w:t>4.1 (incorporated by reference, see §60.17). This demonstration of maximum heat input capacity shall be made during the initial performance test for affected facilities that meet the criteria of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j). It shall be made within 60 days after achieving the maximum production rate at which the affected facility will be operated, but not later than 180 days after initial start-up of each facility, for affected facilities meeting the criteria of §60.44b(k). Subsequent demonstrations may be required by the Administrator at any other time. If this demonstration indicates that the maximum heat input capacity of the affected facility is less than that stated by the manufacturer of the affected facility, the maximum heat input capacity determined during this demonstration shall be used to determine the capacity utilization rate for the affected facility. Otherwise, the maximum heat input capacity provided by the manufacturer is used.</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 The owner or operator of an affected facility described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 xml:space="preserve">j) that has a heat input capacity greater than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shall: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Conduct an initial performance test as required under §60.8 over a minimum of 24 consecutive steam generating unit operating hours at maximum heat input capacity to demonstrate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standards under §60.44b using Method 7, 7A, 7E of appendix A of this part, or other approved reference methods;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Conduct subsequent performance tests once per calendar year or every 400 hours of operation (whichever comes first) to demonstrate compliance with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standards under §60.44b over a minimum of 3 consecutive steam generating unit operating hours at maximum heat input capacity using Method 7, 7A, 7E of appendix A of this part, or other approved reference methods.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owner or operator of an affected facility seeking to demonstrate compliance with the PM limit in paragraphs §</w:t>
      </w:r>
      <w:proofErr w:type="gramStart"/>
      <w:r w:rsidRPr="00F16C03">
        <w:rPr>
          <w:rFonts w:ascii="Book Antiqua" w:eastAsia="Times New Roman" w:hAnsi="Book Antiqua" w:cs="Arial"/>
          <w:sz w:val="20"/>
          <w:szCs w:val="20"/>
        </w:rPr>
        <w:t>60.43b(</w:t>
      </w:r>
      <w:proofErr w:type="gramEnd"/>
      <w:r w:rsidRPr="00F16C03">
        <w:rPr>
          <w:rFonts w:ascii="Book Antiqua" w:eastAsia="Times New Roman" w:hAnsi="Book Antiqua" w:cs="Arial"/>
          <w:sz w:val="20"/>
          <w:szCs w:val="20"/>
        </w:rPr>
        <w:t>a)(4) or §60.43b(h)(5) shall follow the applicable procedures in §60.49b(r).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(j) In place of PM testing with Method 5 or 5B of appendix A–3 of this part, or Method 17 of appendix A–6 of this part, an owner or operator may elect to install, calibrate, maintain, and operate a CEMS for monitoring PM emissions discharged to the atmosphere and record the output of the system. The owner or operator of an affected facility who elects to continuously monitor PM emissions instead of conducting performance testing using Method 5 or 5B of appendix A–3 of this part or Method 17 of appendix A–6 of this part shall comply with the requirements specified in paragraphs (j)(1) through (j)(14)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Notify the Administrator one month before starting use of the system.</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Notify the Administrator one month before stopping use of the system.</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The monitor shall be installed, evaluated, and operated in accordance with §60.13 of subpart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The initial performance evaluation shall be completed no later than 180 days after the date of initial startup of the affected facility, as specified under §60.8 of subpart A of this part or within 180 days of notification to the Administrator of use of the CEMS if the owner or operator was previously determining compliance by Method 5, 5B, or 17 of appendix A of this part performance tests, whichever is later.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The owner or operator of an affected facility shall conduct an initial performance test for PM emissions as required under §60.8 of subpart A of this part. Compliance with the PM emission limit shall be determined by using the CEMS specified in paragraph (j) of this section to measure PM and calculating a 24-hour block arithmetic average emission concentration using EPA Reference Method 19 of appendix A of this part, section 4.1.</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(6) Compliance with the PM emission limit shall be determined based on the 24-hour daily (block) average of the hourly arithmetic average emission concentrations using CEMS outlet data.</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 At a minimum, valid CEMS hourly averages shall be obtained as specified in paragraphs (j</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7)(</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 for 75 percent of the total operating hours per 30-day rolling average.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At least two data points per hour shall be used to calculate each 1-hour arithmetic average.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[Reserved]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(8) The 1-hour arithmetic averages required under paragraph (j)(7) of this section shall be expressed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and shall be used to calculate the boiler operating day daily arithmetic average emission concentrations. The 1-hour arithmetic averages shall be calculated using the data points required under §60.13(e</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of subpart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(9) All valid CEMS data shall be used in calculating average emission concentrations even if the minimum CEMS data requirements of paragraph (j</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7) of this section are not met.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(10) The CEMS shall be operated according to Performance Specification 11 in appendix B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(11) During the correlation testing runs of the CEMS required by Performance Specification 11 in appendix B of this part, PM and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data shall be collected concurrently (or within a 30-to 60-minute period) by both the continuous emission monitors and performance tests conducted using the following test methods.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For PM, Method 5 or 5B of appendix A–3 of this part or Method 17 of appendix A–6 of this part shall be used;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After July 1, 2010 or after Method 202 of appendix M of part 51 has been revised to minimize artifact measurement and notice of that change has been published in </w:t>
      </w:r>
      <w:proofErr w:type="spellStart"/>
      <w:r w:rsidRPr="00F16C03">
        <w:rPr>
          <w:rFonts w:ascii="Book Antiqua" w:eastAsia="Times New Roman" w:hAnsi="Book Antiqua" w:cs="Arial"/>
          <w:sz w:val="20"/>
          <w:szCs w:val="20"/>
        </w:rPr>
        <w:t>theFederal</w:t>
      </w:r>
      <w:proofErr w:type="spell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Register,whichever</w:t>
      </w:r>
      <w:proofErr w:type="spellEnd"/>
      <w:r w:rsidRPr="00F16C03">
        <w:rPr>
          <w:rFonts w:ascii="Book Antiqua" w:eastAsia="Times New Roman" w:hAnsi="Book Antiqua" w:cs="Arial"/>
          <w:sz w:val="20"/>
          <w:szCs w:val="20"/>
        </w:rPr>
        <w:t xml:space="preserve"> is later, for condensable PM emissions, Method 202 of appendix M of part 51 shall be used;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(iii) For </w:t>
      </w:r>
      <w:proofErr w:type="gramStart"/>
      <w:r w:rsidRPr="00F16C03">
        <w:rPr>
          <w:rFonts w:ascii="Book Antiqua" w:eastAsia="Times New Roman" w:hAnsi="Book Antiqua" w:cs="Arial"/>
          <w:sz w:val="20"/>
          <w:szCs w:val="20"/>
        </w:rPr>
        <w:t>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Method 3A or 3B of appendix A–2 of this part, as applicable shall be used.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(12) Quarterly accuracy determinations and daily calibration drift tests shall be performed in accordance with procedure 2 in appendix F of this part. Relative Response Audit's must be performed annually and Response Correlation Audits must be performed every 3 years.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(13) When PM emissions data are not obtained because of CEMS breakdowns, repairs, calibration checks, and zero and span adjustments, emissions data shall be obtained by using other monitoring systems as approved by the Administrator or EPA Reference Method 19 of appendix A of this part to provide, as necessary, valid emissions data for a minimum of 75 percent of total operating hours per 30-day rolling average.</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(14) After July 1, 2011, within 90 days after completing a correlation testing run, the owner or operator of an affected facility shall either successfully enter the test data into EPA's </w:t>
      </w:r>
      <w:proofErr w:type="spellStart"/>
      <w:r w:rsidRPr="00F16C03">
        <w:rPr>
          <w:rFonts w:ascii="Book Antiqua" w:eastAsia="Times New Roman" w:hAnsi="Book Antiqua" w:cs="Arial"/>
          <w:sz w:val="20"/>
          <w:szCs w:val="20"/>
        </w:rPr>
        <w:t>WebFIRE</w:t>
      </w:r>
      <w:proofErr w:type="spellEnd"/>
      <w:r w:rsidRPr="00F16C03">
        <w:rPr>
          <w:rFonts w:ascii="Book Antiqua" w:eastAsia="Times New Roman" w:hAnsi="Book Antiqua" w:cs="Arial"/>
          <w:sz w:val="20"/>
          <w:szCs w:val="20"/>
        </w:rPr>
        <w:t xml:space="preserve"> data base located at </w:t>
      </w:r>
      <w:r w:rsidRPr="00F16C03">
        <w:rPr>
          <w:rFonts w:ascii="Book Antiqua" w:eastAsia="Times New Roman" w:hAnsi="Book Antiqua" w:cs="Arial"/>
          <w:i/>
          <w:iCs/>
          <w:sz w:val="20"/>
          <w:szCs w:val="20"/>
        </w:rPr>
        <w:t xml:space="preserve">http://cfpub.epa.gov/oarweb/index.cfm?action=fire.main </w:t>
      </w:r>
      <w:r w:rsidRPr="00F16C03">
        <w:rPr>
          <w:rFonts w:ascii="Book Antiqua" w:eastAsia="Times New Roman" w:hAnsi="Book Antiqua" w:cs="Arial"/>
          <w:sz w:val="20"/>
          <w:szCs w:val="20"/>
        </w:rPr>
        <w:t>or mail a copy to: United States Environmental Protection Agency; Energy Strategies Group; 109 TW Alexander DR; Mail Code: D243–01; RTP, NC 27711.</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5086, Jan. 28, 2009]</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60.47b   Emission monitoring for sulfur dioxide.</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Except as provided in paragraphs (b) and (f) of this section, the owner or operator of an affected facility subject to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standards in §60.42b shall install, calibrate, maintain, and operate CEMS for measuring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concentrations and either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concentrations and shall record the output of the systems. For units complying with the percent reduction standard,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and either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concentrations shall both be monitored at the inlet and outlet of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device. If the owner or operator has installed and certified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and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CEMS according to the requirements of §75.20(c</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of this chapter and appendix A to part 75 of this chapter, and is continuing to meet the ongoing quality assurance requirements of §75.21 of this chapter and appendix B to part 75 of this chapter, those CEMS may be used to meet the requirements of this section, provided that: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When relative accuracy testing is conducted,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concentration data and </w:t>
      </w:r>
      <w:proofErr w:type="gramStart"/>
      <w:r w:rsidRPr="00F16C03">
        <w:rPr>
          <w:rFonts w:ascii="Book Antiqua" w:eastAsia="Times New Roman" w:hAnsi="Book Antiqua" w:cs="Arial"/>
          <w:sz w:val="20"/>
          <w:szCs w:val="20"/>
        </w:rPr>
        <w:t>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or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data are collected simultaneously;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In addition to meeting the applicable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and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relative accuracy specifications in Figure 2 of appendix B to part 75 of this chapter, the relative accuracy (RA) standard in section 13.2 of Performance Specification 2 in appendix B to this part is met when the RA is calculated on a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basis;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The reporting requirements of §60.49b are met.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and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data used to meet the requirements of §60.49b shall not include substitute data values derived from the missing data procedures in subpart D of part 75 of this chapter, nor shall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data have been bias adjusted according to the procedures of part 75 of this chapter.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As an alternative to operating CEMS as required under paragraph (a) of this section, an owner or operator may elect to determine the average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and percent reduction by: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Collecting coal or oil samples in an as-fired condition at the inlet to the steam generating unit and analyzing them for sulfur and heat content according to Method 19 of appendix A of this part. Method 19 of appendix A of this part provides procedures for converting these measurements into the format to be used in calculating the average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input rate, or</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Measuring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according to Method 6B of appendix A of this part at the inlet or outlet to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system. An initial stratification test is required to verify the adequacy of the Method 6B of appendix A of this part sampling location. The stratification test shall consist of three paired runs of a suitable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and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measurement train operated at the candidate location and a second similar train operated according to the procedures in section 3.2 and the applicable procedures in section 7 of Performance Specification 2. Method 6B of appendix A of this part, Method 6A of appendix A of this part, or a combination of Methods 6 and 3 or 3B of appendix A of this part or Methods 6C and 3A of appendix A of this part are suitable measurement techniques. If Method 6B of appendix A of this part is used for the second train, sampling time and timer operation may be adjusted for the stratification test as long as an adequate sample volume is collected; however, both sampling trains are to be operated similarly. For the location to be adequate for Method 6B of appendix A of this part 24-hour tests, the mean of the absolute difference between the three paired runs must be less than 10 percent.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A daily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E</w:t>
      </w:r>
      <w:r w:rsidRPr="00F16C03">
        <w:rPr>
          <w:rFonts w:ascii="Book Antiqua" w:eastAsia="Times New Roman" w:hAnsi="Book Antiqua" w:cs="Arial"/>
          <w:sz w:val="20"/>
          <w:szCs w:val="20"/>
          <w:vertAlign w:val="subscript"/>
        </w:rPr>
        <w:t>D</w:t>
      </w:r>
      <w:r w:rsidRPr="00F16C03">
        <w:rPr>
          <w:rFonts w:ascii="Book Antiqua" w:eastAsia="Times New Roman" w:hAnsi="Book Antiqua" w:cs="Arial"/>
          <w:sz w:val="20"/>
          <w:szCs w:val="20"/>
        </w:rPr>
        <w:t xml:space="preserve">, shall be determined using the procedure described in Method 6A of appendix A of this part, section 7.6.2 (Equation 6A–8) and stated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The mean 30-day emission rate is calculated using the daily measured values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for 30 successive steam generating unit operating days using equation 19–20 of Method 19 of appendix A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(c) The owner or operator of an affected facility shall obtain emission data for at least 75 percent of the operating hours in at least 22 out of 30 successive boiler operating days. If this minimum data requirement is not met with a single monitoring system, the owner or operator of the affected facility shall supplement the emission data with data collected with other monitoring systems as approved by the Administrator or the reference methods and procedures as described in paragraph (b)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(d) The 1-hour average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rates measured by the CEMS required by paragraph (a) of this section and required under §60.13(h) is expressed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and is used to calculate the average emission rates under §60.42(b). Each 1-hour average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must be based on 30 or more minutes of steam generating unit operation. The hourly averages shall be calculated according to §60.13(h</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Hourly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rates are not calculated if the affected facility is operated less than 30 minutes in a given clock hour and are not counted toward determination of a steam generating unit operating day.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 The procedures under §60.13 shall be followed for installation, evaluation, and operation of the CEMS.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Except as provided for in paragraph (e</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4) of this section, all CEMS shall be operated in accordance with the applicable procedures under Performance Specifications 1, 2, and 3 of appendix B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Except as provided for in paragraph (e)(4) of this section, quarterly accuracy determinations and daily calibration drift tests shall be performed in accordance with Procedure 1 of appendix F of this part.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For affected facilities combusting coal or oil, alone or in combination with other fuels, the span value of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CEMS at the inlet to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device is 125 percent of the maximum estimated hourly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of the fuel combusted, and the span value of the CEMS at the outlet to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control device is 50 percent of the maximum estimated hourly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of the fuel combusted. Alternatively,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span values determined according to section 2.1.1 in appendix A to part 75 of this chapter may be used.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As an alternative to meeting the requirements of requirements of paragraphs (e</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and (e)(2) of this section, the owner or operator may elect to implement the following alternative data accuracy assessment procedures: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For all required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and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monitors and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and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monitors</w:t>
      </w:r>
      <w:proofErr w:type="spellEnd"/>
      <w:r w:rsidRPr="00F16C03">
        <w:rPr>
          <w:rFonts w:ascii="Book Antiqua" w:eastAsia="Times New Roman" w:hAnsi="Book Antiqua" w:cs="Arial"/>
          <w:sz w:val="20"/>
          <w:szCs w:val="20"/>
        </w:rPr>
        <w:t xml:space="preserve"> with span values greater than or equal to 100 ppm, the daily calibration error test and calibration adjustment procedures described in sections 2.1.1 and 2.1.3 of appendix B to part 75 of this chapter may be followed instead of the CD assessment procedures in Procedure 1, section 4.1 of appendix F to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For all required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and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monitors and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and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monitors</w:t>
      </w:r>
      <w:proofErr w:type="spellEnd"/>
      <w:r w:rsidRPr="00F16C03">
        <w:rPr>
          <w:rFonts w:ascii="Book Antiqua" w:eastAsia="Times New Roman" w:hAnsi="Book Antiqua" w:cs="Arial"/>
          <w:sz w:val="20"/>
          <w:szCs w:val="20"/>
        </w:rPr>
        <w:t xml:space="preserve"> with span values greater than 30 ppm, quarterly linearity checks may be performed in accordance with section 2.2.1 of appendix B to part 75 of this chapter, instead of performing the cylinder gas audits (CGAs) described in Procedure 1, section 5.1.2 of appendix F to this part. If this option is selected: The frequency of the linearity checks shall be as specified in section 2.2.1 of appendix B to part 75 of this chapter; the applicable linearity specifications in section 3.2 of appendix A to part 75 of this chapter shall be met; the data validation and out-of-control criteria in section 2.2.3 of appendix B to part 75 of this chapter shall be followed instead of the excessive audit inaccuracy and out-of-control criteria in Procedure 1, section 5.2 of appendix F to this part; and the grace period provisions in section 2.2.4 of appendix B to part 75 of this chapter shall apply. For the purposes of data validation under this subpart, the cylinder gas audits described in Procedure 1, section 5.1.2 of appendix F to this part shall be performed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and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span</w:t>
      </w:r>
      <w:proofErr w:type="spellEnd"/>
      <w:r w:rsidRPr="00F16C03">
        <w:rPr>
          <w:rFonts w:ascii="Book Antiqua" w:eastAsia="Times New Roman" w:hAnsi="Book Antiqua" w:cs="Arial"/>
          <w:sz w:val="20"/>
          <w:szCs w:val="20"/>
        </w:rPr>
        <w:t xml:space="preserve"> values less than or equal to 30 ppm;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and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monitoring systems and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 monitoring systems, RATAs may be performed in accordance with section 2.3 of appendix B to part 75 of this chapter instead of following the procedures described in Procedure 1, section 5.1.1 of appendix F to this part. If this option is selected: The frequency of each RATA shall be as specified in section 2.3.1 of appendix B to part 75 of this chapter; the applicable relative accuracy specifications shown in Figure 2 in appendix B to part 75 of this chapter shall be met; the data validation and out-of-control criteria in section 2.3.2 of appendix B to part 75 of this chapter shall be followed instead of the excessive audit inaccuracy and out-of-control criteria in Procedure 1, section 5.2 of appendix F to this part; and the grace period provisions in section 2.3.3 of appendix B to part 75 of this chapter shall apply. For the purposes of data validation under this subpart, the relative accuracy specification in section 13.2 of Performance Specification 2 in appendix B to this part shall be met on a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basis for </w:t>
      </w:r>
      <w:proofErr w:type="gramStart"/>
      <w:r w:rsidRPr="00F16C03">
        <w:rPr>
          <w:rFonts w:ascii="Book Antiqua" w:eastAsia="Times New Roman" w:hAnsi="Book Antiqua" w:cs="Arial"/>
          <w:sz w:val="20"/>
          <w:szCs w:val="20"/>
        </w:rPr>
        <w:t>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regardless of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 level during the RATA), and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when</w:t>
      </w:r>
      <w:proofErr w:type="spellEnd"/>
      <w:r w:rsidRPr="00F16C03">
        <w:rPr>
          <w:rFonts w:ascii="Book Antiqua" w:eastAsia="Times New Roman" w:hAnsi="Book Antiqua" w:cs="Arial"/>
          <w:sz w:val="20"/>
          <w:szCs w:val="20"/>
        </w:rPr>
        <w:t xml:space="preserve"> the average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 measured by the reference method during the RATA is less than 0.100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 The owner or operator of an affected facility that combusts very low sulfur oil or is demonstrating compliance under §60.45b(k) is not subject to the emission monitoring requirements under paragraph (a) of this section if the owner or operator maintains fuel records as described in §60.49b(r).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5087, Jan. 28, 2009]</w:t>
      </w:r>
    </w:p>
    <w:p w:rsidR="00F16C03" w:rsidRDefault="00F16C03">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60.48b   Emission monitoring for particulate matter and nitrogen oxides.</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Except as provided in paragraph (j) of this section, the owner or operator of an affected facility subject to the opacity standard under §60.43b shall install, calibrate, maintain, and operate a continuous opacity monitoring system (COMS) for measuring the opacity of emissions discharged to the atmosphere and record the output of the system. The owner or operator of an affected facility subject to an opacity standard under §60.43b and meeting the conditions under paragraphs (j)(1), (2), (3), (4), or (5) of this section who elects not to use a COMS shall conduct a performance test using Method 9 of appendix A–4 of this part and the procedures in §60.11 to demonstrate compliance with the applicable limit in §60.43b by April 29, 2011, within 45 days of stopping use of an existing COMS, or 180 days after initial startup of the facility, whichever is later, and shall comply with either paragraphs (a)(1), (a)(2), or (a)(3) of this section. The observation period for Method 9 of appendix A–4 of this part performance tests may be reduced from 3 hours to 60 minutes if all 6-minute averages are less than 10 percent and all individual 15-second observations are less than or equal to 20 percent during the initial 60 minutes of observation.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Except as provided in paragraph (a)(2) and (a)(3) of this section, the owner or operator shall conduct subsequent Method 9 of appendix A–4 of this part performance tests using the procedures in paragraph (a) of this section according to the applicable schedule in paragraphs (a)(1)(</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through (a)(1)(iv) of this section, as determined by the most recent Method 9 of appendix A–4 of this part performance test results.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If no visible emissions are observed, a subsequent Method 9 of appendix A–4 of this part performance test must be completed within 12 calendar months from the date that the most recent performance test was conducted;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If visible emissions are observed but the maximum 6-minute average opacity is less than or equal to 5 percent, a subsequent Method 9 of appendix A–4 of this part performance test must be completed within 6 calendar months from the date that the most recent performance test was conducted;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If the maximum 6-minute average opacity is greater than 5 percent but less than or equal to 10 percent, a subsequent Method 9 of appendix A–4 of this part performance test must be completed within 3 calendar months from the date that the most recent performance test was conducted;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(iv) If the maximum 6-minute average opacity is greater than 10 percent, a subsequent Method 9 of appendix A–4 of this part performance test must be completed within 45 calendar days from the date that the most recent performance test was conducted.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If the maximum 6-minute opacity is less than 10 percent during the most recent Method 9 of appendix A–4 of this part performance test, the owner or operator may, as an alternative to performing subsequent Method 9 of appendix A–4 of this part performance tests, elect to perform subsequent monitoring using Method 22 of appendix A–7 of this part according to the procedures specified in paragraphs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and (ii) of this section.</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The owner or operator shall conduct 10 minute observations (during normal operation) each operating day the affected facility fires fuel for which an opacity standard is applicable using Method 22 of appendix A–7 of this part and demonstrate that the sum of the occurrences of any visible emissions is not in excess of 5 percent of the observation period </w:t>
      </w:r>
      <w:proofErr w:type="gramStart"/>
      <w:r w:rsidRPr="00F16C03">
        <w:rPr>
          <w:rFonts w:ascii="Book Antiqua" w:eastAsia="Times New Roman" w:hAnsi="Book Antiqua" w:cs="Arial"/>
          <w:sz w:val="20"/>
          <w:szCs w:val="20"/>
        </w:rPr>
        <w:t xml:space="preserve">( </w:t>
      </w:r>
      <w:r w:rsidRPr="00F16C03">
        <w:rPr>
          <w:rFonts w:ascii="Book Antiqua" w:eastAsia="Times New Roman" w:hAnsi="Book Antiqua" w:cs="Arial"/>
          <w:i/>
          <w:iCs/>
          <w:sz w:val="20"/>
          <w:szCs w:val="20"/>
        </w:rPr>
        <w:t>i.e</w:t>
      </w:r>
      <w:proofErr w:type="gramEnd"/>
      <w:r w:rsidRPr="00F16C03">
        <w:rPr>
          <w:rFonts w:ascii="Book Antiqua" w:eastAsia="Times New Roman" w:hAnsi="Book Antiqua" w:cs="Arial"/>
          <w:i/>
          <w:iCs/>
          <w:sz w:val="20"/>
          <w:szCs w:val="20"/>
        </w:rPr>
        <w:t xml:space="preserve">. </w:t>
      </w:r>
      <w:r w:rsidRPr="00F16C03">
        <w:rPr>
          <w:rFonts w:ascii="Book Antiqua" w:eastAsia="Times New Roman" w:hAnsi="Book Antiqua" w:cs="Arial"/>
          <w:sz w:val="20"/>
          <w:szCs w:val="20"/>
        </w:rPr>
        <w:t xml:space="preserve">, 30 seconds per 10 minute period). If the sum of the occurrence of any visible emissions is greater than 30 seconds during the initial 10 minute observation, immediately conduct a 30 minute observation. If the sum of the occurrence of visible emissions is greater than 5 percent of the observation period ( </w:t>
      </w:r>
      <w:r w:rsidRPr="00F16C03">
        <w:rPr>
          <w:rFonts w:ascii="Book Antiqua" w:eastAsia="Times New Roman" w:hAnsi="Book Antiqua" w:cs="Arial"/>
          <w:i/>
          <w:iCs/>
          <w:sz w:val="20"/>
          <w:szCs w:val="20"/>
        </w:rPr>
        <w:t xml:space="preserve">i.e., </w:t>
      </w:r>
      <w:r w:rsidRPr="00F16C03">
        <w:rPr>
          <w:rFonts w:ascii="Book Antiqua" w:eastAsia="Times New Roman" w:hAnsi="Book Antiqua" w:cs="Arial"/>
          <w:sz w:val="20"/>
          <w:szCs w:val="20"/>
        </w:rPr>
        <w:t xml:space="preserve">90 seconds per 30 minute period), the owner or operator shall either document and adjust the operation of the facility and demonstrate within 24 hours that the sum of the occurrence of visible emissions is equal to or less than 5 percent during a 30 minute observation ( </w:t>
      </w:r>
      <w:r w:rsidRPr="00F16C03">
        <w:rPr>
          <w:rFonts w:ascii="Book Antiqua" w:eastAsia="Times New Roman" w:hAnsi="Book Antiqua" w:cs="Arial"/>
          <w:i/>
          <w:iCs/>
          <w:sz w:val="20"/>
          <w:szCs w:val="20"/>
        </w:rPr>
        <w:t xml:space="preserve">i.e., </w:t>
      </w:r>
      <w:r w:rsidRPr="00F16C03">
        <w:rPr>
          <w:rFonts w:ascii="Book Antiqua" w:eastAsia="Times New Roman" w:hAnsi="Book Antiqua" w:cs="Arial"/>
          <w:sz w:val="20"/>
          <w:szCs w:val="20"/>
        </w:rPr>
        <w:t>90 seconds) or conduct a new Method 9 of appendix A–4 of this part performance test using the procedures in paragraph (a) of this section within 45 calendar days according to the requirements in §60.46d(d)(7).</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If no visible emissions are observed for 30 operating days during which an opacity standard is applicable, observations can be reduced to once every 7 operating days during which an opacity standard is applicable. If any visible emissions are observed, daily observations shall be resumed.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If the maximum 6-minute opacity is less than 10 percent during the most recent Method 9 of appendix A–4 of this part performance test, the owner or operator may, as an alternative to performing subsequent Method 9 of appendix A–4 performance tests, elect to perform subsequent monitoring using a digital opacity compliance system according to a site-specific monitoring plan approved by the Administrator. The observations shall be similar, but not necessarily identical, to the requirements in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of this section. For reference purposes in preparing the monitoring plan, see OAQPS “Determination of Visible Emission Opacity from Stationary Sources Using Computer-Based Photographic Analysis Systems.” This document is available from the U.S. Environmental Protection Agency (U.S. EPA); Office of Air Quality and Planning Standards; Sector Policies and Programs Division; Measurement Policy Group (D243–02), Research Triangle Park, NC 27711. This document is also available on the Technology Transfer Network (TTN) under Emission Measurement Center Preliminary Methods.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Except as provided under paragraphs (g), (h), and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of this section, the owner or operator of an affected facility subject to a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w:t>
      </w:r>
      <w:proofErr w:type="spellEnd"/>
      <w:r w:rsidRPr="00F16C03">
        <w:rPr>
          <w:rFonts w:ascii="Book Antiqua" w:eastAsia="Times New Roman" w:hAnsi="Book Antiqua" w:cs="Arial"/>
          <w:sz w:val="20"/>
          <w:szCs w:val="20"/>
        </w:rPr>
        <w:t xml:space="preserve"> under §60.44b shall comply with either paragraphs (b</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or (b)(2)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Install, calibrate, maintain, and operate CEMS for measuring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and</w:t>
      </w:r>
      <w:proofErr w:type="spellEnd"/>
      <w:r w:rsidRPr="00F16C03">
        <w:rPr>
          <w:rFonts w:ascii="Book Antiqua" w:eastAsia="Times New Roman" w:hAnsi="Book Antiqua" w:cs="Arial"/>
          <w:sz w:val="20"/>
          <w:szCs w:val="20"/>
        </w:rPr>
        <w:t xml:space="preserve"> </w:t>
      </w:r>
      <w:proofErr w:type="gramStart"/>
      <w:r w:rsidRPr="00F16C03">
        <w:rPr>
          <w:rFonts w:ascii="Book Antiqua" w:eastAsia="Times New Roman" w:hAnsi="Book Antiqua" w:cs="Arial"/>
          <w:sz w:val="20"/>
          <w:szCs w:val="20"/>
        </w:rPr>
        <w:t>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emissions discharged to the atmosphere, and shall record the output of the system;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If the owner or operator has installed a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 CEMS to meet the requirements of part 75 of this chapter and is continuing to meet the ongoing requirements of part 75 of this chapter, that CEMS may be used to meet the requirements of this section, except that the owner or operator shall also meet the requirements of §60.49b. Data reported to meet the requirements of §60.49b shall not include data substituted using the missing data procedures in subpart D of part 75 of this chapter, nor shall the data have been bias adjusted according to the procedures of part 75 of this chapter.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(c) The CEMS required under paragraph (b) of this section shall be operated and data recorded during all periods of operation of the affected facility except for CEMS breakdowns and repairs. Data is recorded during calibration checks, and zero and span adjustments.</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(d) The 1-hour average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rates measured by the continuous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monitor</w:t>
      </w:r>
      <w:proofErr w:type="spellEnd"/>
      <w:r w:rsidRPr="00F16C03">
        <w:rPr>
          <w:rFonts w:ascii="Book Antiqua" w:eastAsia="Times New Roman" w:hAnsi="Book Antiqua" w:cs="Arial"/>
          <w:sz w:val="20"/>
          <w:szCs w:val="20"/>
        </w:rPr>
        <w:t xml:space="preserve"> required by paragraph (b) of this section and required under §60.13(h) shall be expressed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and shall be used to calculate the average emission rates under §60.44b. The 1-hour averages shall be calculated using the data points required under §60.13(h</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 The procedures under §60.13 shall be followed for installation, evaluation, and operation of the continuous monitoring systems.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For affected facilities combusting coal, wood or municipal-type solid waste, the span value </w:t>
      </w:r>
      <w:proofErr w:type="gramStart"/>
      <w:r w:rsidRPr="00F16C03">
        <w:rPr>
          <w:rFonts w:ascii="Book Antiqua" w:eastAsia="Times New Roman" w:hAnsi="Book Antiqua" w:cs="Arial"/>
          <w:sz w:val="20"/>
          <w:szCs w:val="20"/>
        </w:rPr>
        <w:t>for a</w:t>
      </w:r>
      <w:proofErr w:type="gramEnd"/>
      <w:r w:rsidRPr="00F16C03">
        <w:rPr>
          <w:rFonts w:ascii="Book Antiqua" w:eastAsia="Times New Roman" w:hAnsi="Book Antiqua" w:cs="Arial"/>
          <w:sz w:val="20"/>
          <w:szCs w:val="20"/>
        </w:rPr>
        <w:t xml:space="preserve"> COMS shall be between 60 and 80 percent.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For affected facilities combusting coal, oil, or natural gas, the span value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is</w:t>
      </w:r>
      <w:proofErr w:type="spellEnd"/>
      <w:r w:rsidRPr="00F16C03">
        <w:rPr>
          <w:rFonts w:ascii="Book Antiqua" w:eastAsia="Times New Roman" w:hAnsi="Book Antiqua" w:cs="Arial"/>
          <w:sz w:val="20"/>
          <w:szCs w:val="20"/>
        </w:rPr>
        <w:t xml:space="preserve"> determined using one of the following procedures: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Except as provided under paragraph (e</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2)(ii) of this section,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span</w:t>
      </w:r>
      <w:proofErr w:type="spellEnd"/>
      <w:r w:rsidRPr="00F16C03">
        <w:rPr>
          <w:rFonts w:ascii="Book Antiqua" w:eastAsia="Times New Roman" w:hAnsi="Book Antiqua" w:cs="Arial"/>
          <w:sz w:val="20"/>
          <w:szCs w:val="20"/>
        </w:rPr>
        <w:t xml:space="preserve"> values shall be determined as follows: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349"/>
        <w:gridCol w:w="6041"/>
      </w:tblGrid>
      <w:tr w:rsidR="00F16C03" w:rsidRPr="00F16C03" w:rsidTr="00F16C03">
        <w:tc>
          <w:tcPr>
            <w:tcW w:w="0" w:type="auto"/>
            <w:tcBorders>
              <w:top w:val="single" w:sz="6" w:space="0" w:color="000000"/>
              <w:left w:val="single" w:sz="6" w:space="0" w:color="000000"/>
              <w:bottom w:val="single" w:sz="6" w:space="0" w:color="000000"/>
              <w:right w:val="single" w:sz="6" w:space="0" w:color="000000"/>
            </w:tcBorders>
            <w:vAlign w:val="bottom"/>
            <w:hideMark/>
          </w:tcPr>
          <w:p w:rsidR="00F16C03" w:rsidRPr="00F16C03" w:rsidRDefault="00F16C03" w:rsidP="00F16C03">
            <w:pPr>
              <w:spacing w:after="0" w:line="240" w:lineRule="auto"/>
              <w:jc w:val="center"/>
              <w:rPr>
                <w:rFonts w:ascii="Book Antiqua" w:eastAsia="Times New Roman" w:hAnsi="Book Antiqua" w:cs="Times New Roman"/>
                <w:b/>
                <w:bCs/>
                <w:sz w:val="20"/>
                <w:szCs w:val="20"/>
              </w:rPr>
            </w:pPr>
            <w:r w:rsidRPr="00F16C03">
              <w:rPr>
                <w:rFonts w:ascii="Book Antiqua" w:eastAsia="Times New Roman" w:hAnsi="Book Antiqua" w:cs="Times New Roman"/>
                <w:b/>
                <w:bCs/>
                <w:sz w:val="20"/>
                <w:szCs w:val="20"/>
              </w:rPr>
              <w:t>Fuel</w:t>
            </w:r>
          </w:p>
        </w:tc>
        <w:tc>
          <w:tcPr>
            <w:tcW w:w="0" w:type="auto"/>
            <w:tcBorders>
              <w:top w:val="single" w:sz="6" w:space="0" w:color="000000"/>
              <w:left w:val="single" w:sz="6" w:space="0" w:color="000000"/>
              <w:bottom w:val="single" w:sz="6" w:space="0" w:color="000000"/>
              <w:right w:val="single" w:sz="6" w:space="0" w:color="000000"/>
            </w:tcBorders>
            <w:vAlign w:val="bottom"/>
            <w:hideMark/>
          </w:tcPr>
          <w:p w:rsidR="00F16C03" w:rsidRPr="00F16C03" w:rsidRDefault="00F16C03" w:rsidP="00F16C03">
            <w:pPr>
              <w:spacing w:after="0" w:line="240" w:lineRule="auto"/>
              <w:jc w:val="center"/>
              <w:rPr>
                <w:rFonts w:ascii="Book Antiqua" w:eastAsia="Times New Roman" w:hAnsi="Book Antiqua" w:cs="Times New Roman"/>
                <w:b/>
                <w:bCs/>
                <w:sz w:val="20"/>
                <w:szCs w:val="20"/>
              </w:rPr>
            </w:pPr>
            <w:r w:rsidRPr="00F16C03">
              <w:rPr>
                <w:rFonts w:ascii="Book Antiqua" w:eastAsia="Times New Roman" w:hAnsi="Book Antiqua" w:cs="Times New Roman"/>
                <w:b/>
                <w:bCs/>
                <w:sz w:val="20"/>
                <w:szCs w:val="20"/>
              </w:rPr>
              <w:t>Span values for NO</w:t>
            </w:r>
            <w:r w:rsidRPr="00F16C03">
              <w:rPr>
                <w:rFonts w:ascii="Book Antiqua" w:eastAsia="Times New Roman" w:hAnsi="Book Antiqua" w:cs="Times New Roman"/>
                <w:b/>
                <w:bCs/>
                <w:sz w:val="20"/>
                <w:szCs w:val="20"/>
                <w:vertAlign w:val="subscript"/>
              </w:rPr>
              <w:t>X</w:t>
            </w:r>
            <w:r w:rsidRPr="00F16C03">
              <w:rPr>
                <w:rFonts w:ascii="Book Antiqua" w:eastAsia="Times New Roman" w:hAnsi="Book Antiqua" w:cs="Times New Roman"/>
                <w:b/>
                <w:bCs/>
                <w:sz w:val="20"/>
                <w:szCs w:val="20"/>
              </w:rPr>
              <w:br/>
              <w:t>(ppm)</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Natural gas</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500.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Oil</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500.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Coal</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1,000.</w:t>
            </w:r>
          </w:p>
        </w:tc>
      </w:tr>
      <w:tr w:rsidR="00F16C03" w:rsidRPr="00F16C03" w:rsidTr="00F16C03">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Mixtures</w:t>
            </w:r>
          </w:p>
        </w:tc>
        <w:tc>
          <w:tcPr>
            <w:tcW w:w="0" w:type="auto"/>
            <w:tcBorders>
              <w:top w:val="single" w:sz="6" w:space="0" w:color="000000"/>
              <w:left w:val="single" w:sz="6" w:space="0" w:color="000000"/>
              <w:bottom w:val="single" w:sz="6" w:space="0" w:color="000000"/>
              <w:right w:val="single" w:sz="6" w:space="0" w:color="000000"/>
            </w:tcBorders>
            <w:hideMark/>
          </w:tcPr>
          <w:p w:rsidR="00F16C03" w:rsidRPr="00F16C03" w:rsidRDefault="00F16C03" w:rsidP="00F16C03">
            <w:pPr>
              <w:spacing w:after="0" w:line="240" w:lineRule="auto"/>
              <w:rPr>
                <w:rFonts w:ascii="Book Antiqua" w:eastAsia="Times New Roman" w:hAnsi="Book Antiqua" w:cs="Times New Roman"/>
                <w:sz w:val="20"/>
                <w:szCs w:val="20"/>
              </w:rPr>
            </w:pPr>
            <w:r w:rsidRPr="00F16C03">
              <w:rPr>
                <w:rFonts w:ascii="Book Antiqua" w:eastAsia="Times New Roman" w:hAnsi="Book Antiqua" w:cs="Times New Roman"/>
                <w:sz w:val="20"/>
                <w:szCs w:val="20"/>
              </w:rPr>
              <w:t>500 (x + y) + 1,000z.</w:t>
            </w:r>
          </w:p>
        </w:tc>
      </w:tr>
    </w:tbl>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Where: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x = Fraction of total heat input derived from natural gas;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y = Fraction of total heat input derived from oil;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z = Fraction of total heat input derived from coal.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As an alternative to meeting the requirements of paragraph (e)(2)(</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of this section, the owner or operator of an affected facility may elect to use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span</w:t>
      </w:r>
      <w:proofErr w:type="spellEnd"/>
      <w:r w:rsidRPr="00F16C03">
        <w:rPr>
          <w:rFonts w:ascii="Book Antiqua" w:eastAsia="Times New Roman" w:hAnsi="Book Antiqua" w:cs="Arial"/>
          <w:sz w:val="20"/>
          <w:szCs w:val="20"/>
        </w:rPr>
        <w:t xml:space="preserve"> values determined according to section 2.1.2 in appendix A to part 75 of this chapter.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All span values computed under paragraph (e</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 for combusting mixtures of regulated fuels are rounded to the nearest 500 ppm. Span values computed under paragraph (e</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2)(ii) of this section shall be rounded off according to section 2.1.2 in appendix A to part 75 of this chapter.</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(f) When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data are not obtained because of CEMS breakdowns, repairs, calibration checks and zero and span adjustments, emission data will be obtained by using standby monitoring systems, Method 7 of appendix A of this part, Method 7A of appendix A of this part, or other approved reference methods to provide emission data for a minimum of 75 percent of the operating hours in each steam generating unit operating day, in at least 22 out of 30 successive steam generating unit operating days.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(g) The owner or operator of an affected facility that has a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/hr) or less, and that has an annual capacity factor for residual oil having a nitrogen content of 0.30 weight percent or less, natural gas, distillate oil, gasified coal, or any mixture of these fuels, greater than 10 percent (0.10) shall: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Comply with the provisions of paragraphs (b), (c), (d), (e)(2), (e)(3), and (f) of this section;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Monitor steam generating unit operating conditions and predict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rates as specified in a plan submitted pursuant to §60.49b(c).</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(h) The owner or operator of a duct burner, as described in §60.41b, that is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 xml:space="preserve">a)(4), §60.44b(e), or §60.44b(l) is not required to install or operate a continuous emissions monitoring system to measure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owner or operator of an affected facility described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 xml:space="preserve">j) or §60.44b(k) is not required to install or operate a CEMS for measuring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(j) The owner or operator of an affected facility that meets the conditions in either paragraph (j)(1), (2), (3), (4), (5), or (6) of this section is not required to install or operate a COMS if:</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affected facility uses a PM CEMS to monitor PM emissions;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The affected facility burns only liquid (excluding residual oil) or gaseous fuels with potential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emissions rates of 26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(0.060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or less and does not use a post-combustion technology to reduce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or PM </w:t>
      </w:r>
      <w:proofErr w:type="gramStart"/>
      <w:r w:rsidRPr="00F16C03">
        <w:rPr>
          <w:rFonts w:ascii="Book Antiqua" w:eastAsia="Times New Roman" w:hAnsi="Book Antiqua" w:cs="Arial"/>
          <w:sz w:val="20"/>
          <w:szCs w:val="20"/>
        </w:rPr>
        <w:t>emissions</w:t>
      </w:r>
      <w:proofErr w:type="gramEnd"/>
      <w:r w:rsidRPr="00F16C03">
        <w:rPr>
          <w:rFonts w:ascii="Book Antiqua" w:eastAsia="Times New Roman" w:hAnsi="Book Antiqua" w:cs="Arial"/>
          <w:sz w:val="20"/>
          <w:szCs w:val="20"/>
        </w:rPr>
        <w:t>. The owner or operator must maintain fuel records of the sulfur content of the fuels burned, as described under §60.49b(r);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The affected facility burns coke oven gas alone or in combination with fuels meeting the criteria in paragraph (j)(2) of this section and does not use a post-combustion technology to reduce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PM emissions;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The affected facility does not use post-combustion technology (except a wet scrubber) for reducing PM,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or carbon monoxide (CO) emissions, burns only gaseous fuels or fuel oils that contain less than or equal to 0.30 weight percent sulfur, and is operated such that emissions of CO to the atmosphere from the affected facility are maintained at levels less than or equal to 0.15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on a steam generating unit operating day average basis. Owners and operators of affected facilities electing to comply with this paragraph must demonstrate compliance according to the procedures specified in paragraphs (j</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4)(</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through (iv) of this section; or</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You must monitor CO emissions using a CEMS according to the procedures specified in paragraphs (j</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4)(</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)(A) through (D)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The CO CEMS must be installed, certified, maintained, and operated according to the provisions in §</w:t>
      </w:r>
      <w:proofErr w:type="gramStart"/>
      <w:r w:rsidRPr="00F16C03">
        <w:rPr>
          <w:rFonts w:ascii="Book Antiqua" w:eastAsia="Times New Roman" w:hAnsi="Book Antiqua" w:cs="Arial"/>
          <w:sz w:val="20"/>
          <w:szCs w:val="20"/>
        </w:rPr>
        <w:t>60.58b(</w:t>
      </w:r>
      <w:proofErr w:type="spellStart"/>
      <w:proofErr w:type="gramEnd"/>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)(3) of subpart </w:t>
      </w:r>
      <w:proofErr w:type="spellStart"/>
      <w:r w:rsidRPr="00F16C03">
        <w:rPr>
          <w:rFonts w:ascii="Book Antiqua" w:eastAsia="Times New Roman" w:hAnsi="Book Antiqua" w:cs="Arial"/>
          <w:sz w:val="20"/>
          <w:szCs w:val="20"/>
        </w:rPr>
        <w:t>Eb</w:t>
      </w:r>
      <w:proofErr w:type="spellEnd"/>
      <w:r w:rsidRPr="00F16C03">
        <w:rPr>
          <w:rFonts w:ascii="Book Antiqua" w:eastAsia="Times New Roman" w:hAnsi="Book Antiqua" w:cs="Arial"/>
          <w:sz w:val="20"/>
          <w:szCs w:val="20"/>
        </w:rPr>
        <w:t xml:space="preserve">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Each 1-hour CO emissions average is calculated using the data points generated by the CO CEMS expressed in parts per million by volume corrected to 3 percent oxygen (dry basis).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(C) At a minimum, valid 1-hour CO emissions averages must be obtained for at least 90 percent of the operating hours on a 30-day rolling average basis. The 1-hour averages are calculated using the data points required in §60.13(h</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(D) Quarterly accuracy determinations and daily calibration drift tests for the CO CEMS must be performed in accordance with procedure 1 in appendix F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You must calculate the 1-hour average CO emissions levels for each steam generating unit operating day by multiplying the average hourly CO output concentration measured by the CO CEMS times the corresponding average hourly flue gas flow rate and divided by the corresponding average hourly heat input to the affected source. The 24-hour average CO emission level is determined by calculating the arithmetic average of the hourly CO emission levels computed for each steam generating unit operating day.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You must evaluate the preceding 24-hour average CO emission level each steam generating unit operating day excluding periods of affected source startup, shutdown, or malfunction. If the 24-hour average CO emission level is greater than 0.15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you must initiate investigation of the relevant equipment and control systems within 24 hours of the first discovery of the high emission incident and, take the appropriate corrective action as soon as practicable to adjust control settings or repair equipment to reduce the 24-hour average CO emission level to 0.15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or less.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(iv) You must record the CO measurements and calculations performed according to paragraph (j</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4) of this section and any corrective actions taken. The record of corrective action taken must include the date and time during which the 24-hour average CO emission level was greater than 0.15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and the date, time, and description of the corrective action.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The affected facility uses a bag leak detection system to monitor the performance of a fabric filter (baghouse) according to the most recent requirements in section §60.48Da of this part;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(6) The affected facility burns only gaseous fuels or fuel oils that contain less than or equal to 0.30 weight percent sulfur and operates according to a written site-specific monitoring plan approved by the permitting authority. This monitoring plan must include procedures and criteria for establishing and monitoring specific parameters for the affected facility indicative of compliance with the opacity standard.</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(k) Owners or operators complying with the PM emission limit by using a PM CEMS must calibrate, maintain, operate, and record the output of the system for PM emissions discharged to the atmosphere as specified in §60.46b(j). The CEMS specified in paragraph §</w:t>
      </w:r>
      <w:proofErr w:type="gramStart"/>
      <w:r w:rsidRPr="00F16C03">
        <w:rPr>
          <w:rFonts w:ascii="Book Antiqua" w:eastAsia="Times New Roman" w:hAnsi="Book Antiqua" w:cs="Arial"/>
          <w:sz w:val="20"/>
          <w:szCs w:val="20"/>
        </w:rPr>
        <w:t>60.46b(</w:t>
      </w:r>
      <w:proofErr w:type="gramEnd"/>
      <w:r w:rsidRPr="00F16C03">
        <w:rPr>
          <w:rFonts w:ascii="Book Antiqua" w:eastAsia="Times New Roman" w:hAnsi="Book Antiqua" w:cs="Arial"/>
          <w:sz w:val="20"/>
          <w:szCs w:val="20"/>
        </w:rPr>
        <w:t>j) shall be operated and data recorded during all periods of operation of the affected facility except for CEMS breakdowns and repairs. Data is recorded during calibration checks, and zero and span adjustments.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5087, Jan. 28, 2009; 76 FR 3523, Jan. 20, 2011]</w:t>
      </w:r>
    </w:p>
    <w:p w:rsidR="00F16C03" w:rsidRPr="00F16C03" w:rsidRDefault="00F16C03" w:rsidP="00F16C03">
      <w:pPr>
        <w:spacing w:before="100" w:beforeAutospacing="1" w:after="100" w:afterAutospacing="1" w:line="240" w:lineRule="auto"/>
        <w:outlineLvl w:val="4"/>
        <w:rPr>
          <w:rFonts w:ascii="Book Antiqua" w:eastAsia="Times New Roman" w:hAnsi="Book Antiqua" w:cs="Arial"/>
          <w:b/>
          <w:bCs/>
          <w:sz w:val="20"/>
          <w:szCs w:val="20"/>
        </w:rPr>
      </w:pPr>
      <w:proofErr w:type="gramStart"/>
      <w:r w:rsidRPr="00F16C03">
        <w:rPr>
          <w:rFonts w:ascii="Book Antiqua" w:eastAsia="Times New Roman" w:hAnsi="Book Antiqua" w:cs="Arial"/>
          <w:b/>
          <w:bCs/>
          <w:sz w:val="20"/>
          <w:szCs w:val="20"/>
        </w:rPr>
        <w:t>§ 60.49b   Reporting and recordkeeping requirements.</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(a) The owner or operator of each affected facility shall submit notification of the date of initial startup, as provided by §60.7. This notification shall include: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design heat input capacity of the affected facility and identification of the fuels to be combusted in the affected facility;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If applicable, a copy of any federally enforceable requirement that limits the annual capacity factor for any fuel or mixture of fuels under §§60.42b(d)(1), 60.43b(a)(2), (a)(3)(iii), (c)(2)(ii), (d)(2)(iii), 60.44b(c), (d), (e),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(j), (k), 60.45b(d), (g), 60.46b(h), or 60.48b(</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The annual capacity factor at which the owner or operator anticipates operating the facility based on all fuels fired and based on each individual fuel fired;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Notification that an emerging technology will be used for controlling emissions of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The Administrator will examine the description of the emerging technology and will determine whether the technology qualifies as an emerging technology. In making this determination, the Administrator may require the owner or operator of the affected facility to submit additional information concerning the control device. The affected facility is subject to the provisions of §</w:t>
      </w:r>
      <w:proofErr w:type="gramStart"/>
      <w:r w:rsidRPr="00F16C03">
        <w:rPr>
          <w:rFonts w:ascii="Book Antiqua" w:eastAsia="Times New Roman" w:hAnsi="Book Antiqua" w:cs="Arial"/>
          <w:sz w:val="20"/>
          <w:szCs w:val="20"/>
        </w:rPr>
        <w:t>60.42b(</w:t>
      </w:r>
      <w:proofErr w:type="gramEnd"/>
      <w:r w:rsidRPr="00F16C03">
        <w:rPr>
          <w:rFonts w:ascii="Book Antiqua" w:eastAsia="Times New Roman" w:hAnsi="Book Antiqua" w:cs="Arial"/>
          <w:sz w:val="20"/>
          <w:szCs w:val="20"/>
        </w:rPr>
        <w:t>a) unless and until this determination is made by the Administrator.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(b) The owner or operator of each affected facility subject to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 PM, and/or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limits under §§60.42b, 60.43b, and 60.44b shall submit to the Administrator the performance test data from the initial performance test and the performance evaluation of the CEMS using the applicable performance specifications in appendix B of this part. The owner or operator of each affected facility described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j) or §60.44b(k) shall submit to the Administrator the maximum heat input capacity data from the demonstration of the maximum heat input capacity of the affected facility.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(c) The owner or operator of each affected facility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w:t>
      </w:r>
      <w:proofErr w:type="spellEnd"/>
      <w:r w:rsidRPr="00F16C03">
        <w:rPr>
          <w:rFonts w:ascii="Book Antiqua" w:eastAsia="Times New Roman" w:hAnsi="Book Antiqua" w:cs="Arial"/>
          <w:sz w:val="20"/>
          <w:szCs w:val="20"/>
        </w:rPr>
        <w:t xml:space="preserve"> in §60.44b who seeks to demonstrate compliance with those standards through the monitoring of steam generating unit operating conditions in the provisions of §</w:t>
      </w:r>
      <w:proofErr w:type="gramStart"/>
      <w:r w:rsidRPr="00F16C03">
        <w:rPr>
          <w:rFonts w:ascii="Book Antiqua" w:eastAsia="Times New Roman" w:hAnsi="Book Antiqua" w:cs="Arial"/>
          <w:sz w:val="20"/>
          <w:szCs w:val="20"/>
        </w:rPr>
        <w:t>60.48b(</w:t>
      </w:r>
      <w:proofErr w:type="gramEnd"/>
      <w:r w:rsidRPr="00F16C03">
        <w:rPr>
          <w:rFonts w:ascii="Book Antiqua" w:eastAsia="Times New Roman" w:hAnsi="Book Antiqua" w:cs="Arial"/>
          <w:sz w:val="20"/>
          <w:szCs w:val="20"/>
        </w:rPr>
        <w:t>g)(2) shall submit to the Administrator for approval a plan that identifies the operating conditions to be monitored in §60.48b(g)(2) and the records to be maintained in §60.49b(g). This plan shall be submitted to the Administrator for approval within 360 days of the initial startup of the affected facility. An affected facility burning coke oven gas alone or in combination with other gaseous fuels or distillate oil shall submit this plan to the Administrator for approval within 360 days of the initial startup of the affected facility or by November 30, 2009, whichever date comes later. If the plan is approved, the owner or operator shall maintain records of predicted nitrogen oxide emission rates and the monitored operating conditions, including steam generating unit load, identified in the plan. The plan shall: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Identify the specific operating conditions to be monitored and the relationship between these operating conditions and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rates </w:t>
      </w:r>
      <w:proofErr w:type="gramStart"/>
      <w:r w:rsidRPr="00F16C03">
        <w:rPr>
          <w:rFonts w:ascii="Book Antiqua" w:eastAsia="Times New Roman" w:hAnsi="Book Antiqua" w:cs="Arial"/>
          <w:sz w:val="20"/>
          <w:szCs w:val="20"/>
        </w:rPr>
        <w:t xml:space="preserve">( </w:t>
      </w:r>
      <w:r w:rsidRPr="00F16C03">
        <w:rPr>
          <w:rFonts w:ascii="Book Antiqua" w:eastAsia="Times New Roman" w:hAnsi="Book Antiqua" w:cs="Arial"/>
          <w:i/>
          <w:iCs/>
          <w:sz w:val="20"/>
          <w:szCs w:val="20"/>
        </w:rPr>
        <w:t>i.e</w:t>
      </w:r>
      <w:proofErr w:type="gramEnd"/>
      <w:r w:rsidRPr="00F16C03">
        <w:rPr>
          <w:rFonts w:ascii="Book Antiqua" w:eastAsia="Times New Roman" w:hAnsi="Book Antiqua" w:cs="Arial"/>
          <w:i/>
          <w:iCs/>
          <w:sz w:val="20"/>
          <w:szCs w:val="20"/>
        </w:rPr>
        <w:t xml:space="preserve">. </w:t>
      </w:r>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lbs/</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Steam generating unit operating conditions include, but are not limited to, the degree of staged combustion ( </w:t>
      </w:r>
      <w:r w:rsidRPr="00F16C03">
        <w:rPr>
          <w:rFonts w:ascii="Book Antiqua" w:eastAsia="Times New Roman" w:hAnsi="Book Antiqua" w:cs="Arial"/>
          <w:i/>
          <w:iCs/>
          <w:sz w:val="20"/>
          <w:szCs w:val="20"/>
        </w:rPr>
        <w:t xml:space="preserve">i.e. </w:t>
      </w:r>
      <w:r w:rsidRPr="00F16C03">
        <w:rPr>
          <w:rFonts w:ascii="Book Antiqua" w:eastAsia="Times New Roman" w:hAnsi="Book Antiqua" w:cs="Arial"/>
          <w:sz w:val="20"/>
          <w:szCs w:val="20"/>
        </w:rPr>
        <w:t xml:space="preserve">, the ratio of primary air to secondary and/or tertiary air) and the level of excess air ( </w:t>
      </w:r>
      <w:r w:rsidRPr="00F16C03">
        <w:rPr>
          <w:rFonts w:ascii="Book Antiqua" w:eastAsia="Times New Roman" w:hAnsi="Book Antiqua" w:cs="Arial"/>
          <w:i/>
          <w:iCs/>
          <w:sz w:val="20"/>
          <w:szCs w:val="20"/>
        </w:rPr>
        <w:t xml:space="preserve">i.e. </w:t>
      </w:r>
      <w:r w:rsidRPr="00F16C03">
        <w:rPr>
          <w:rFonts w:ascii="Book Antiqua" w:eastAsia="Times New Roman" w:hAnsi="Book Antiqua" w:cs="Arial"/>
          <w:sz w:val="20"/>
          <w:szCs w:val="20"/>
        </w:rPr>
        <w:t>, flue gas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level);</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Include the data and information that the owner or operator used to identify the relationship between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rates and these operating conditions;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Identify how these operating conditions, including steam generating unit load, will be monitored under §60.48b(g) on an hourly basis by the owner or operator during the period of operation of the affected facility; the quality assurance procedures or practices that will be employed to ensure that the data generated by monitoring these operating conditions will be representative and accurate; and the type and format of the records of these operating conditions, including steam generating unit load, that will be maintained by the owner or operator under §60.49b(g).</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(d) Except as provided in paragraph (d)(2) of this section, the owner or operator of an affected facility shall record and maintain records as specified in paragraph (d)(1)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owner or operator of an affected facility shall record and maintain records of the amounts of each fuel combusted during each day and calculate the annual capacity factor individually for coal, distillate oil, residual oil, natural gas, wood, and municipal-type solid waste for the reporting period. The annual capacity factor is determined on a 12-month rolling average basis with a new annual capacity factor calculated at the end of each calendar month.</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As an alternative to meeting the requirements of paragraph (d</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of this section, the owner or operator of an affected facility that is subject to a federally enforceable permit restricting fuel use to a single fuel such that the facility is not required to continuously monitor any emissions (excluding opacity) or parameters indicative of emissions may elect to record and maintain records of the amount of each fuel combusted during each calendar month.</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(e) For an affected facility that combusts residual oil and meets the criteria under §§60.46b(e)(4), 60.44b(j), or (k), the owner or operator shall maintain records of the nitrogen content of the residual oil combusted in the affected facility and calculate the average fuel nitrogen content for the reporting period. The nitrogen content shall be determined using ASTM Method D4629 (incorporated by reference, see §60.17), or fuel suppliers. If residual oil blends are being combusted, fuel nitrogen specifications may be prorated based on the ratio of residual oils of different nitrogen content in the fuel blend.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(f) For an affected facility subject to the opacity standard in §60.43b, the owner or operator shall maintain records of opacity. In addition, an owner or operator that elects to monitor emissions according to the requirements in §60.48b(a) shall maintain records according to the requirements specified in paragraphs (f)(1) through (3) of this section, as applicable to the visible emissions monitoring method used.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For each performance test conducted using Method 9 of appendix A–4 of this part, the owner or operator shall keep the records including the information specified in paragraphs (f)(1)(</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through (iii) of this section.</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Dates and time intervals of all opacity observation periods;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Name, affiliation, and copy of current visible emission reading certification for each visible emission observer participating in the performance test;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Copies of all visible emission observer opacity field data sheets;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For each performance test conducted using Method 22 of appendix A–4 of this part, the owner or operator shall keep the records including the information specified in paragraphs (f)(2)(</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through (iv)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Dates and time intervals of all visible emissions observation periods;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Name and affiliation for each visible emission observer participating in the performance test;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Copies of all visible emission observer opacity field data sheets;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gramStart"/>
      <w:r w:rsidRPr="00F16C03">
        <w:rPr>
          <w:rFonts w:ascii="Book Antiqua" w:eastAsia="Times New Roman" w:hAnsi="Book Antiqua" w:cs="Arial"/>
          <w:sz w:val="20"/>
          <w:szCs w:val="20"/>
        </w:rPr>
        <w:t>(iv) Documentation</w:t>
      </w:r>
      <w:proofErr w:type="gramEnd"/>
      <w:r w:rsidRPr="00F16C03">
        <w:rPr>
          <w:rFonts w:ascii="Book Antiqua" w:eastAsia="Times New Roman" w:hAnsi="Book Antiqua" w:cs="Arial"/>
          <w:sz w:val="20"/>
          <w:szCs w:val="20"/>
        </w:rPr>
        <w:t xml:space="preserve"> of any adjustments made and the time the adjustments were completed to the affected facility operation by the owner or operator to demonstrate compliance with the applicable monitoring requirements.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For each digital opacity compliance system, the owner or operator shall maintain records and submit reports according to the requirements specified in the site-specific monitoring plan approved by the Administrator.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(g) Except as provided under paragraph (p) of this section, the owner or operator of an affected facility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standards</w:t>
      </w:r>
      <w:proofErr w:type="spellEnd"/>
      <w:r w:rsidRPr="00F16C03">
        <w:rPr>
          <w:rFonts w:ascii="Book Antiqua" w:eastAsia="Times New Roman" w:hAnsi="Book Antiqua" w:cs="Arial"/>
          <w:sz w:val="20"/>
          <w:szCs w:val="20"/>
        </w:rPr>
        <w:t xml:space="preserve"> under §60.44b shall maintain records of the following information for each steam generating unit operating day: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Calendar date;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The average hourly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rates (expressed as NO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measured or predicted;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The 30-day average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rates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calculated at the end of each steam generating unit operating day from the measured or predicted hourly nitrogen oxide emission rates for the preceding 30 steam generating unit operating days;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Identification of the steam generating unit operating days when the calculated 30-day average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rates are in excess of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standards under §60.44b, with the reasons for such excess emissions as well as a description of corrective actions taken;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Identification of the steam generating unit operating days for which pollutant data have not been obtained, including reasons for not obtaining sufficient data and a description of corrective actions taken;</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(6) Identification of the times when emission data have been excluded from the calculation of average emission rates and the reasons for excluding data;</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 Identification of “F” factor used for calculations, method of determination, and type of fuel combusted;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(8) Identification of the times when the pollutant concentration exceeded full span of the CEMS;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(9) Description of any modifications to the CEMS that could affect the ability of the CEMS to comply with Performance Specification 2 or 3;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(10) Results of daily CEMS drift tests and quarterly accuracy assessments as required under appendix F, Procedure 1 of this part.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(h) The owner or operator of any affected facility in any category listed in paragraphs (h</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1) or (2) of this section is required to submit excess emission reports for any excess emissions that occurred during the reporting period.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Any affected facility subject to the opacity standards in §</w:t>
      </w:r>
      <w:proofErr w:type="gramStart"/>
      <w:r w:rsidRPr="00F16C03">
        <w:rPr>
          <w:rFonts w:ascii="Book Antiqua" w:eastAsia="Times New Roman" w:hAnsi="Book Antiqua" w:cs="Arial"/>
          <w:sz w:val="20"/>
          <w:szCs w:val="20"/>
        </w:rPr>
        <w:t>60.43b(</w:t>
      </w:r>
      <w:proofErr w:type="gramEnd"/>
      <w:r w:rsidRPr="00F16C03">
        <w:rPr>
          <w:rFonts w:ascii="Book Antiqua" w:eastAsia="Times New Roman" w:hAnsi="Book Antiqua" w:cs="Arial"/>
          <w:sz w:val="20"/>
          <w:szCs w:val="20"/>
        </w:rPr>
        <w:t>f) or to the operating parameter monitoring requirements in §60.13(</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)(1).</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Any affected facility that is subject to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w:t>
      </w:r>
      <w:proofErr w:type="spellEnd"/>
      <w:r w:rsidRPr="00F16C03">
        <w:rPr>
          <w:rFonts w:ascii="Book Antiqua" w:eastAsia="Times New Roman" w:hAnsi="Book Antiqua" w:cs="Arial"/>
          <w:sz w:val="20"/>
          <w:szCs w:val="20"/>
        </w:rPr>
        <w:t xml:space="preserve"> of §60.44b, and that: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Combusts natural gas, distillate oil, gasified coal, or residual oil with a nitrogen content of 0.3 weight percent or less;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Has a heat input capacity of 73 MW (250 </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/hr) or less and is required to monitor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on a continuous basis under §</w:t>
      </w:r>
      <w:proofErr w:type="gramStart"/>
      <w:r w:rsidRPr="00F16C03">
        <w:rPr>
          <w:rFonts w:ascii="Book Antiqua" w:eastAsia="Times New Roman" w:hAnsi="Book Antiqua" w:cs="Arial"/>
          <w:sz w:val="20"/>
          <w:szCs w:val="20"/>
        </w:rPr>
        <w:t>60.48b(</w:t>
      </w:r>
      <w:proofErr w:type="gramEnd"/>
      <w:r w:rsidRPr="00F16C03">
        <w:rPr>
          <w:rFonts w:ascii="Book Antiqua" w:eastAsia="Times New Roman" w:hAnsi="Book Antiqua" w:cs="Arial"/>
          <w:sz w:val="20"/>
          <w:szCs w:val="20"/>
        </w:rPr>
        <w:t>g)(1) or steam generating unit operating conditions under §60.48b(g)(2).</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For the purpose of §60.43b, excess emissions are defined as all 6-minute periods during which the average opacity exceeds the opacity standards under §</w:t>
      </w:r>
      <w:proofErr w:type="gramStart"/>
      <w:r w:rsidRPr="00F16C03">
        <w:rPr>
          <w:rFonts w:ascii="Book Antiqua" w:eastAsia="Times New Roman" w:hAnsi="Book Antiqua" w:cs="Arial"/>
          <w:sz w:val="20"/>
          <w:szCs w:val="20"/>
        </w:rPr>
        <w:t>60.43b(</w:t>
      </w:r>
      <w:proofErr w:type="gramEnd"/>
      <w:r w:rsidRPr="00F16C03">
        <w:rPr>
          <w:rFonts w:ascii="Book Antiqua" w:eastAsia="Times New Roman" w:hAnsi="Book Antiqua" w:cs="Arial"/>
          <w:sz w:val="20"/>
          <w:szCs w:val="20"/>
        </w:rPr>
        <w:t>f).</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For purposes of §</w:t>
      </w:r>
      <w:proofErr w:type="gramStart"/>
      <w:r w:rsidRPr="00F16C03">
        <w:rPr>
          <w:rFonts w:ascii="Book Antiqua" w:eastAsia="Times New Roman" w:hAnsi="Book Antiqua" w:cs="Arial"/>
          <w:sz w:val="20"/>
          <w:szCs w:val="20"/>
        </w:rPr>
        <w:t>60.48b(</w:t>
      </w:r>
      <w:proofErr w:type="gramEnd"/>
      <w:r w:rsidRPr="00F16C03">
        <w:rPr>
          <w:rFonts w:ascii="Book Antiqua" w:eastAsia="Times New Roman" w:hAnsi="Book Antiqua" w:cs="Arial"/>
          <w:sz w:val="20"/>
          <w:szCs w:val="20"/>
        </w:rPr>
        <w:t xml:space="preserve">g)(1), excess emissions are defined as any calculated 30-day rolling average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rate, as determined under §60.46b(e), that exceeds the applicable emission limits in §60.44b.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The owner or operator of any affected facility subject to the continuous monitoring requirements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under</w:t>
      </w:r>
      <w:proofErr w:type="spellEnd"/>
      <w:r w:rsidRPr="00F16C03">
        <w:rPr>
          <w:rFonts w:ascii="Book Antiqua" w:eastAsia="Times New Roman" w:hAnsi="Book Antiqua" w:cs="Arial"/>
          <w:sz w:val="20"/>
          <w:szCs w:val="20"/>
        </w:rPr>
        <w:t xml:space="preserve"> §60.48(b) shall submit reports containing the information recorded under paragraph (g)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(j) The owner or operator of any affected facility subject to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standards under §60.42b shall submit reports.</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(k) For each affected facility subject to the compliance and performance testing requirements of §60.45b and the reporting requirement in paragraph (j) of this section, the following information shall be reported to the Administrator: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Calendar dates covered in the reporting period;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Each 30-day average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or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xml:space="preserve"> heat input) measured during the reporting period, ending with the last 30-day period; reasons for noncompliance with the emission standards; and a description of corrective actions taken; For an exceedance due to maintenance of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control system covered in paragraph </w:t>
      </w:r>
      <w:proofErr w:type="gramStart"/>
      <w:r w:rsidRPr="00F16C03">
        <w:rPr>
          <w:rFonts w:ascii="Book Antiqua" w:eastAsia="Times New Roman" w:hAnsi="Book Antiqua" w:cs="Arial"/>
          <w:sz w:val="20"/>
          <w:szCs w:val="20"/>
        </w:rPr>
        <w:t>60.45b(</w:t>
      </w:r>
      <w:proofErr w:type="gramEnd"/>
      <w:r w:rsidRPr="00F16C03">
        <w:rPr>
          <w:rFonts w:ascii="Book Antiqua" w:eastAsia="Times New Roman" w:hAnsi="Book Antiqua" w:cs="Arial"/>
          <w:sz w:val="20"/>
          <w:szCs w:val="20"/>
        </w:rPr>
        <w:t>a), the report shall identify the days on which the maintenance was performed and a description of the maintenance;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Each 30-day average percent reduction in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emissions calculated during the reporting period, ending with the last 30-day period; reasons for noncompliance with the emission standards; and a description of corrective actions taken;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Identification of the steam generating unit operating days that coal or oil was combusted and for which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or </w:t>
      </w:r>
      <w:proofErr w:type="spellStart"/>
      <w:r w:rsidRPr="00F16C03">
        <w:rPr>
          <w:rFonts w:ascii="Book Antiqua" w:eastAsia="Times New Roman" w:hAnsi="Book Antiqua" w:cs="Arial"/>
          <w:sz w:val="20"/>
          <w:szCs w:val="20"/>
        </w:rPr>
        <w:t>diluent</w:t>
      </w:r>
      <w:proofErr w:type="spellEnd"/>
      <w:r w:rsidRPr="00F16C03">
        <w:rPr>
          <w:rFonts w:ascii="Book Antiqua" w:eastAsia="Times New Roman" w:hAnsi="Book Antiqua" w:cs="Arial"/>
          <w:sz w:val="20"/>
          <w:szCs w:val="20"/>
        </w:rPr>
        <w:t xml:space="preserve">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data have not been obtained by an approved method for at least 75 percent of the operating hours in the steam generating unit operating day; justification for not obtaining sufficient data; and description of corrective action taken;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(6) Identification of “F” factor used for calculations, method of determination, and type of fuel combusted;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 Identification of times when hourly averages have been obtained based on manual sampling methods;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(8) Identification of the times when the pollutant concentration exceeded full span of the CEMS;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(9) Description of any modifications to the CEMS that could affect the ability of the CEMS to comply with Performance Specification 2 or 3;</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(10) Results of daily CEMS drift tests and quarterly accuracy assessments as required under appendix F, Procedure 1 of this part;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(11) The annual capacity factor of each fired as provided under paragraph (d)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(l) For each affected facility subject to the compliance and performance testing requirements of §</w:t>
      </w:r>
      <w:proofErr w:type="gramStart"/>
      <w:r w:rsidRPr="00F16C03">
        <w:rPr>
          <w:rFonts w:ascii="Book Antiqua" w:eastAsia="Times New Roman" w:hAnsi="Book Antiqua" w:cs="Arial"/>
          <w:sz w:val="20"/>
          <w:szCs w:val="20"/>
        </w:rPr>
        <w:t>60.45b(</w:t>
      </w:r>
      <w:proofErr w:type="gramEnd"/>
      <w:r w:rsidRPr="00F16C03">
        <w:rPr>
          <w:rFonts w:ascii="Book Antiqua" w:eastAsia="Times New Roman" w:hAnsi="Book Antiqua" w:cs="Arial"/>
          <w:sz w:val="20"/>
          <w:szCs w:val="20"/>
        </w:rPr>
        <w:t>d) and the reporting requirements of paragraph (j) of this section, the following information shall be reported to the Administrator:</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Calendar dates when the facility was in operation during the reporting period;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The 24-hour average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emission rate measured for each steam generating unit operating day during the reporting period that coal or oil was combusted, ending in the last 24-hour period in the quarter; reasons for noncompliance with the emission standards; and a description of corrective actions taken;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Identification of the steam generating unit operating days that coal or oil was combusted for which S0</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or </w:t>
      </w:r>
      <w:proofErr w:type="spellStart"/>
      <w:r w:rsidRPr="00F16C03">
        <w:rPr>
          <w:rFonts w:ascii="Book Antiqua" w:eastAsia="Times New Roman" w:hAnsi="Book Antiqua" w:cs="Arial"/>
          <w:sz w:val="20"/>
          <w:szCs w:val="20"/>
        </w:rPr>
        <w:t>diluent</w:t>
      </w:r>
      <w:proofErr w:type="spellEnd"/>
      <w:r w:rsidRPr="00F16C03">
        <w:rPr>
          <w:rFonts w:ascii="Book Antiqua" w:eastAsia="Times New Roman" w:hAnsi="Book Antiqua" w:cs="Arial"/>
          <w:sz w:val="20"/>
          <w:szCs w:val="20"/>
        </w:rPr>
        <w:t xml:space="preserve"> (O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or CO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data have not been obtained by an approved method for at least 75 percent of the operating hours; justification for not obtaining sufficient data; and description of corrective action taken;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Identification of the times when emissions data have been excluded from the calculation of average emission rates; justification for excluding data; and description of corrective action taken if data have been excluded for periods other than those during which coal or oil were not combusted in the steam generating unit;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(5) Identification of “F” factor used for calculations, method of determination, and type of fuel combusted;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(6) Identification of times when hourly averages have been obtained based on manual sampling methods;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 Identification of the times when the pollutant concentration exceeded full span of the CEMS;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(8) Description of any modifications to the CEMS that could affect the ability of the CEMS to comply with Performance Specification 2 or 3;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(9) Results of daily CEMS drift tests and quarterly accuracy assessments as required under Procedure 1 of appendix F 1 of this part. If the owner or operator elects to implement the alternative data assessment procedures described in §§60.47b(e)(4)(</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through (e)(4)(iii), each data assessment report shall include a summary of the results of all of the RATAs, linearity checks, CGAs, and calibration error or drift assessments required by §§60.47b(e)(4)(</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through (e)(4)(iii).</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(m) For each affected facility subject to the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standards in §60.42(b) for which the minimum amount of data required in §60.47b(c) were not obtained during the reporting period, the following information is reported to the Administrator in addition to that required under paragraph (k)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number of hourly averages available for outlet emission rates and inlet emission rates;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The standard deviation of hourly averages for outlet emission rates and inlet emission rates, as determined in Method 19 of appendix A of this part, section 7;</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The lower confidence limit for the mean outlet emission rate and the upper confidence limit for the mean inlet emission rate, as calculated in Method 19 of appendix A of this part, section 7;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The ratio of the lower confidence limit for the mean outlet emission rate and the allowable emission rate, as determined in Method 19 of appendix A of this part, section 7.</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(n) If a percent removal efficiency by fuel pretreatment </w:t>
      </w:r>
      <w:proofErr w:type="gramStart"/>
      <w:r w:rsidRPr="00F16C03">
        <w:rPr>
          <w:rFonts w:ascii="Book Antiqua" w:eastAsia="Times New Roman" w:hAnsi="Book Antiqua" w:cs="Arial"/>
          <w:sz w:val="20"/>
          <w:szCs w:val="20"/>
        </w:rPr>
        <w:t xml:space="preserve">( </w:t>
      </w:r>
      <w:r w:rsidRPr="00F16C03">
        <w:rPr>
          <w:rFonts w:ascii="Book Antiqua" w:eastAsia="Times New Roman" w:hAnsi="Book Antiqua" w:cs="Arial"/>
          <w:i/>
          <w:iCs/>
          <w:sz w:val="20"/>
          <w:szCs w:val="20"/>
        </w:rPr>
        <w:t>i.e</w:t>
      </w:r>
      <w:proofErr w:type="gramEnd"/>
      <w:r w:rsidRPr="00F16C03">
        <w:rPr>
          <w:rFonts w:ascii="Book Antiqua" w:eastAsia="Times New Roman" w:hAnsi="Book Antiqua" w:cs="Arial"/>
          <w:i/>
          <w:iCs/>
          <w:sz w:val="20"/>
          <w:szCs w:val="20"/>
        </w:rPr>
        <w:t xml:space="preserve">. </w:t>
      </w:r>
      <w:r w:rsidRPr="00F16C03">
        <w:rPr>
          <w:rFonts w:ascii="Book Antiqua" w:eastAsia="Times New Roman" w:hAnsi="Book Antiqua" w:cs="Arial"/>
          <w:sz w:val="20"/>
          <w:szCs w:val="20"/>
        </w:rPr>
        <w:t>, %</w:t>
      </w:r>
      <w:proofErr w:type="spellStart"/>
      <w:r w:rsidRPr="00F16C03">
        <w:rPr>
          <w:rFonts w:ascii="Book Antiqua" w:eastAsia="Times New Roman" w:hAnsi="Book Antiqua" w:cs="Arial"/>
          <w:sz w:val="20"/>
          <w:szCs w:val="20"/>
        </w:rPr>
        <w:t>R</w:t>
      </w:r>
      <w:r w:rsidRPr="00F16C03">
        <w:rPr>
          <w:rFonts w:ascii="Book Antiqua" w:eastAsia="Times New Roman" w:hAnsi="Book Antiqua" w:cs="Arial"/>
          <w:sz w:val="20"/>
          <w:szCs w:val="20"/>
          <w:vertAlign w:val="subscript"/>
        </w:rPr>
        <w:t>f</w:t>
      </w:r>
      <w:proofErr w:type="spellEnd"/>
      <w:r w:rsidRPr="00F16C03">
        <w:rPr>
          <w:rFonts w:ascii="Book Antiqua" w:eastAsia="Times New Roman" w:hAnsi="Book Antiqua" w:cs="Arial"/>
          <w:sz w:val="20"/>
          <w:szCs w:val="20"/>
        </w:rPr>
        <w:t xml:space="preserve">) is used to determine the overall percent reduction ( </w:t>
      </w:r>
      <w:r w:rsidRPr="00F16C03">
        <w:rPr>
          <w:rFonts w:ascii="Book Antiqua" w:eastAsia="Times New Roman" w:hAnsi="Book Antiqua" w:cs="Arial"/>
          <w:i/>
          <w:iCs/>
          <w:sz w:val="20"/>
          <w:szCs w:val="20"/>
        </w:rPr>
        <w:t xml:space="preserve">i.e. </w:t>
      </w:r>
      <w:r w:rsidRPr="00F16C03">
        <w:rPr>
          <w:rFonts w:ascii="Book Antiqua" w:eastAsia="Times New Roman" w:hAnsi="Book Antiqua" w:cs="Arial"/>
          <w:sz w:val="20"/>
          <w:szCs w:val="20"/>
        </w:rPr>
        <w:t>, %R</w:t>
      </w:r>
      <w:r w:rsidRPr="00F16C03">
        <w:rPr>
          <w:rFonts w:ascii="Book Antiqua" w:eastAsia="Times New Roman" w:hAnsi="Book Antiqua" w:cs="Arial"/>
          <w:sz w:val="20"/>
          <w:szCs w:val="20"/>
          <w:vertAlign w:val="subscript"/>
        </w:rPr>
        <w:t>o</w:t>
      </w:r>
      <w:r w:rsidRPr="00F16C03">
        <w:rPr>
          <w:rFonts w:ascii="Book Antiqua" w:eastAsia="Times New Roman" w:hAnsi="Book Antiqua" w:cs="Arial"/>
          <w:sz w:val="20"/>
          <w:szCs w:val="20"/>
        </w:rPr>
        <w:t>) under §60.45b, the owner or operator of the affected facility shall submit a signed statement with the report.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Indicating what removal efficiency by fuel pretreatment </w:t>
      </w:r>
      <w:proofErr w:type="gramStart"/>
      <w:r w:rsidRPr="00F16C03">
        <w:rPr>
          <w:rFonts w:ascii="Book Antiqua" w:eastAsia="Times New Roman" w:hAnsi="Book Antiqua" w:cs="Arial"/>
          <w:sz w:val="20"/>
          <w:szCs w:val="20"/>
        </w:rPr>
        <w:t xml:space="preserve">( </w:t>
      </w:r>
      <w:r w:rsidRPr="00F16C03">
        <w:rPr>
          <w:rFonts w:ascii="Book Antiqua" w:eastAsia="Times New Roman" w:hAnsi="Book Antiqua" w:cs="Arial"/>
          <w:i/>
          <w:iCs/>
          <w:sz w:val="20"/>
          <w:szCs w:val="20"/>
        </w:rPr>
        <w:t>i.e</w:t>
      </w:r>
      <w:proofErr w:type="gramEnd"/>
      <w:r w:rsidRPr="00F16C03">
        <w:rPr>
          <w:rFonts w:ascii="Book Antiqua" w:eastAsia="Times New Roman" w:hAnsi="Book Antiqua" w:cs="Arial"/>
          <w:i/>
          <w:iCs/>
          <w:sz w:val="20"/>
          <w:szCs w:val="20"/>
        </w:rPr>
        <w:t xml:space="preserve">. </w:t>
      </w:r>
      <w:r w:rsidRPr="00F16C03">
        <w:rPr>
          <w:rFonts w:ascii="Book Antiqua" w:eastAsia="Times New Roman" w:hAnsi="Book Antiqua" w:cs="Arial"/>
          <w:sz w:val="20"/>
          <w:szCs w:val="20"/>
        </w:rPr>
        <w:t>, %</w:t>
      </w:r>
      <w:proofErr w:type="spellStart"/>
      <w:r w:rsidRPr="00F16C03">
        <w:rPr>
          <w:rFonts w:ascii="Book Antiqua" w:eastAsia="Times New Roman" w:hAnsi="Book Antiqua" w:cs="Arial"/>
          <w:sz w:val="20"/>
          <w:szCs w:val="20"/>
        </w:rPr>
        <w:t>R</w:t>
      </w:r>
      <w:r w:rsidRPr="00F16C03">
        <w:rPr>
          <w:rFonts w:ascii="Book Antiqua" w:eastAsia="Times New Roman" w:hAnsi="Book Antiqua" w:cs="Arial"/>
          <w:sz w:val="20"/>
          <w:szCs w:val="20"/>
          <w:vertAlign w:val="subscript"/>
        </w:rPr>
        <w:t>f</w:t>
      </w:r>
      <w:proofErr w:type="spellEnd"/>
      <w:r w:rsidRPr="00F16C03">
        <w:rPr>
          <w:rFonts w:ascii="Book Antiqua" w:eastAsia="Times New Roman" w:hAnsi="Book Antiqua" w:cs="Arial"/>
          <w:sz w:val="20"/>
          <w:szCs w:val="20"/>
        </w:rPr>
        <w:t>) was credited during the reporting period;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Listing the quantity, heat content, and date each pre-treated fuel shipment was received during the reporting period, the name and location of the fuel pretreatment facility; and the total quantity and total heat content of all fuels received at the affected facility during the reporting period;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Documenting the transport of the fuel from the fuel pretreatment facility to the steam generating unit;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(4) Including a signed statement from the owner or operator of the fuel pretreatment facility certifying that the percent removal efficiency achieved by fuel pretreatment was determined in accordance with the provisions of Method 19 of appendix A of this part and listing the heat content and sulfur content of each fuel before and after fuel pretreatment.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(o) All records required under this section shall be maintained by the owner or operator of the affected facility for a period of 2 years following the date of such record.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(p) The owner or operator of an affected facility described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j) or (k) shall maintain records of the following information for each steam generating unit operating day: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Calendar date;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The number of hours of operation;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(3) A record of the hourly steam load.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(q) The owner or operator of an affected facility described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j) or §60.44b(k) shall submit to the Administrator a report containing:</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annual capacity factor over the previous 12 months;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The average fuel nitrogen content during the reporting period, if residual oil was fired;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If the affected facility meets the criteria described in §60.44b(j), the results of any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tests required during the reporting period, the hours of operation during the reporting period, and the hours of operation since the last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test.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(r) The owner or operator of an affected facility who elects to use the fuel based compliance alternatives in §60.42b or §60.43b shall either:</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(1) The owner or operator of an affected facility who elects to demonstrate that the affected facility combusts only very low sulfur oil, natural gas, wood, a mixture of these fuels, or any of these fuels (or a mixture of these fuels) in combination with other fuels that are known to contain an insignificant amount of sulfur in §60.42b(j) or §60.42b(k) shall obtain and maintain at the affected facility fuel receipts from the fuel supplier that certify that the oil meets the definition of distillate oil and gaseous fuel meets the definition of natural gas as defined in §60.41b and the applicable sulfur limit. For the purposes of this section, the distillate oil need not meet the fuel nitrogen content specification in the definition of distillate oil. Reports shall be submitted to the Administrator certifying that only very low sulfur oil meeting this definition, natural gas, wood, and/or other fuels that are known to contain insignificant amounts of sulfur were combusted in the affected facility during the reporting period; 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The owner or operator of an affected facility who elects to demonstrate compliance based on fuel analysis in §60.42b or §60.43b shall develop and submit a site-specific fuel analysis plan to the Administrator for review and approval no later than 60 days before the date you intend to demonstrate compliance. Each fuel analysis plan shall include a minimum initial requirement of weekly testing and each analysis report shall contain, at a minimum, the following information: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The potential sulfur emissions rate of the representative fuel mixture in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heat input;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The method used to determine the potential sulfur emissions rate of each constituent of the mixture. For distillate oil and natural gas a fuel receipt or tariff sheet is acceptable;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The ratio of different fuels in the mixture; and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proofErr w:type="gramStart"/>
      <w:r w:rsidRPr="00F16C03">
        <w:rPr>
          <w:rFonts w:ascii="Book Antiqua" w:eastAsia="Times New Roman" w:hAnsi="Book Antiqua" w:cs="Arial"/>
          <w:sz w:val="20"/>
          <w:szCs w:val="20"/>
        </w:rPr>
        <w:t>(iv) The</w:t>
      </w:r>
      <w:proofErr w:type="gramEnd"/>
      <w:r w:rsidRPr="00F16C03">
        <w:rPr>
          <w:rFonts w:ascii="Book Antiqua" w:eastAsia="Times New Roman" w:hAnsi="Book Antiqua" w:cs="Arial"/>
          <w:sz w:val="20"/>
          <w:szCs w:val="20"/>
        </w:rPr>
        <w:t xml:space="preserve"> owner or operator can petition the Administrator to approve monthly or quarterly sampling in place of weekly sampling.</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(s) Facility 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w:t>
      </w:r>
      <w:proofErr w:type="spellEnd"/>
      <w:r w:rsidRPr="00F16C03">
        <w:rPr>
          <w:rFonts w:ascii="Book Antiqua" w:eastAsia="Times New Roman" w:hAnsi="Book Antiqua" w:cs="Arial"/>
          <w:sz w:val="20"/>
          <w:szCs w:val="20"/>
        </w:rPr>
        <w:t xml:space="preserve"> for Cytec Industries Fortier Plant's C.AOG incinerator located in Westwego, Louisiana:</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w:t>
      </w:r>
      <w:proofErr w:type="gramStart"/>
      <w:r w:rsidRPr="00F16C03">
        <w:rPr>
          <w:rFonts w:ascii="Book Antiqua" w:eastAsia="Times New Roman" w:hAnsi="Book Antiqua" w:cs="Arial"/>
          <w:i/>
          <w:iCs/>
          <w:sz w:val="20"/>
          <w:szCs w:val="20"/>
        </w:rPr>
        <w:t xml:space="preserve">Definitions </w:t>
      </w:r>
      <w:r w:rsidRPr="00F16C03">
        <w:rPr>
          <w:rFonts w:ascii="Book Antiqua" w:eastAsia="Times New Roman" w:hAnsi="Book Antiqua" w:cs="Arial"/>
          <w:sz w:val="20"/>
          <w:szCs w:val="20"/>
        </w:rPr>
        <w:t>.</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Oxidation zone </w:t>
      </w:r>
      <w:r w:rsidRPr="00F16C03">
        <w:rPr>
          <w:rFonts w:ascii="Book Antiqua" w:eastAsia="Times New Roman" w:hAnsi="Book Antiqua" w:cs="Arial"/>
          <w:sz w:val="20"/>
          <w:szCs w:val="20"/>
        </w:rPr>
        <w:t>is defined as the portion of the C.AOG incinerator that extends from the inlet of the oxidizing zone combustion air to the outlet gas stack.</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Reducing zone </w:t>
      </w:r>
      <w:r w:rsidRPr="00F16C03">
        <w:rPr>
          <w:rFonts w:ascii="Book Antiqua" w:eastAsia="Times New Roman" w:hAnsi="Book Antiqua" w:cs="Arial"/>
          <w:sz w:val="20"/>
          <w:szCs w:val="20"/>
        </w:rPr>
        <w:t>is defined as the portion of the C.AOG incinerator that extends from the burner section to the inlet of the oxidizing zone combustion air.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Total inlet air </w:t>
      </w:r>
      <w:r w:rsidRPr="00F16C03">
        <w:rPr>
          <w:rFonts w:ascii="Book Antiqua" w:eastAsia="Times New Roman" w:hAnsi="Book Antiqua" w:cs="Arial"/>
          <w:sz w:val="20"/>
          <w:szCs w:val="20"/>
        </w:rPr>
        <w:t>is defined as the total amount of air introduced into the C.AOG incinerator for combustion of natural gas and chemical by-product waste and is equal to the sum of the air flow into the reducing zone and the air flow into the oxidation zone.</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w:t>
      </w:r>
      <w:r w:rsidRPr="00F16C03">
        <w:rPr>
          <w:rFonts w:ascii="Book Antiqua" w:eastAsia="Times New Roman" w:hAnsi="Book Antiqua" w:cs="Arial"/>
          <w:i/>
          <w:iCs/>
          <w:sz w:val="20"/>
          <w:szCs w:val="20"/>
        </w:rPr>
        <w:t xml:space="preserve">Standard for nitrogen </w:t>
      </w:r>
      <w:proofErr w:type="gramStart"/>
      <w:r w:rsidRPr="00F16C03">
        <w:rPr>
          <w:rFonts w:ascii="Book Antiqua" w:eastAsia="Times New Roman" w:hAnsi="Book Antiqua" w:cs="Arial"/>
          <w:i/>
          <w:iCs/>
          <w:sz w:val="20"/>
          <w:szCs w:val="20"/>
        </w:rPr>
        <w:t xml:space="preserve">oxides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When fossil fuel alone is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for fossil fuel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a) applies.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When natural gas and chemical by-product waste are simultaneously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is </w:t>
      </w:r>
      <w:proofErr w:type="gramStart"/>
      <w:r w:rsidRPr="00F16C03">
        <w:rPr>
          <w:rFonts w:ascii="Book Antiqua" w:eastAsia="Times New Roman" w:hAnsi="Book Antiqua" w:cs="Arial"/>
          <w:sz w:val="20"/>
          <w:szCs w:val="20"/>
        </w:rPr>
        <w:t xml:space="preserve">289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(0.67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and a maximum of 81 percent of the total inlet air provided for combustion shall be provided to the reducing zone of the C.AOG incinerator.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w:t>
      </w:r>
      <w:r w:rsidRPr="00F16C03">
        <w:rPr>
          <w:rFonts w:ascii="Book Antiqua" w:eastAsia="Times New Roman" w:hAnsi="Book Antiqua" w:cs="Arial"/>
          <w:i/>
          <w:iCs/>
          <w:sz w:val="20"/>
          <w:szCs w:val="20"/>
        </w:rPr>
        <w:t xml:space="preserve">Emission </w:t>
      </w:r>
      <w:proofErr w:type="gramStart"/>
      <w:r w:rsidRPr="00F16C03">
        <w:rPr>
          <w:rFonts w:ascii="Book Antiqua" w:eastAsia="Times New Roman" w:hAnsi="Book Antiqua" w:cs="Arial"/>
          <w:i/>
          <w:iCs/>
          <w:sz w:val="20"/>
          <w:szCs w:val="20"/>
        </w:rPr>
        <w:t xml:space="preserve">monitoring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percent of total inlet air provided to the reducing zone shall be determined at least every 15 minutes by measuring the air flow of all the air entering the reducing zone and the air flow of all the air entering the oxidation zone, and compliance with the percentage of total inlet air that is provided to the reducing zone shall be determined on a 3-hour average basis.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shall be determined by the compliance and performance test methods and procedures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w:t>
      </w:r>
      <w:proofErr w:type="gramStart"/>
      <w:r w:rsidRPr="00F16C03">
        <w:rPr>
          <w:rFonts w:ascii="Book Antiqua" w:eastAsia="Times New Roman" w:hAnsi="Book Antiqua" w:cs="Arial"/>
          <w:sz w:val="20"/>
          <w:szCs w:val="20"/>
        </w:rPr>
        <w:t>60.46b(</w:t>
      </w:r>
      <w:proofErr w:type="spellStart"/>
      <w:proofErr w:type="gramEnd"/>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(iii) The monitoring of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shall be performed in accordance with §60.48b.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w:t>
      </w:r>
      <w:r w:rsidRPr="00F16C03">
        <w:rPr>
          <w:rFonts w:ascii="Book Antiqua" w:eastAsia="Times New Roman" w:hAnsi="Book Antiqua" w:cs="Arial"/>
          <w:i/>
          <w:iCs/>
          <w:sz w:val="20"/>
          <w:szCs w:val="20"/>
        </w:rPr>
        <w:t xml:space="preserve">Reporting and recordkeeping </w:t>
      </w:r>
      <w:proofErr w:type="gramStart"/>
      <w:r w:rsidRPr="00F16C03">
        <w:rPr>
          <w:rFonts w:ascii="Book Antiqua" w:eastAsia="Times New Roman" w:hAnsi="Book Antiqua" w:cs="Arial"/>
          <w:i/>
          <w:iCs/>
          <w:sz w:val="20"/>
          <w:szCs w:val="20"/>
        </w:rPr>
        <w:t xml:space="preserve">requirements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owner or operator of the C.AOG incinerator shall submit a report on any excursions from the limits required by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of this section to the Administrator with the quarterly report required by paragraph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The owner or operator of the C.AOG incinerator shall keep records of the monitoring required by paragraph (a</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3) of this section for a period of 2 years following the date of such record.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The owner of operator of the C.AOG incinerator shall perform all the applicable reporting and recordkeeping requirements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(t) Facility-specific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w:t>
      </w:r>
      <w:proofErr w:type="spellEnd"/>
      <w:r w:rsidRPr="00F16C03">
        <w:rPr>
          <w:rFonts w:ascii="Book Antiqua" w:eastAsia="Times New Roman" w:hAnsi="Book Antiqua" w:cs="Arial"/>
          <w:sz w:val="20"/>
          <w:szCs w:val="20"/>
        </w:rPr>
        <w:t xml:space="preserve"> for Rohm and Haas Kentucky Incorporated's Boiler No. 100 located in Louisville, Kentucky:</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w:t>
      </w:r>
      <w:proofErr w:type="gramStart"/>
      <w:r w:rsidRPr="00F16C03">
        <w:rPr>
          <w:rFonts w:ascii="Book Antiqua" w:eastAsia="Times New Roman" w:hAnsi="Book Antiqua" w:cs="Arial"/>
          <w:i/>
          <w:iCs/>
          <w:sz w:val="20"/>
          <w:szCs w:val="20"/>
        </w:rPr>
        <w:t xml:space="preserve">Definitions </w:t>
      </w:r>
      <w:r w:rsidRPr="00F16C03">
        <w:rPr>
          <w:rFonts w:ascii="Book Antiqua" w:eastAsia="Times New Roman" w:hAnsi="Book Antiqua" w:cs="Arial"/>
          <w:sz w:val="20"/>
          <w:szCs w:val="20"/>
        </w:rPr>
        <w:t>.</w:t>
      </w:r>
      <w:proofErr w:type="gramEnd"/>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Air ratio control damper </w:t>
      </w:r>
      <w:r w:rsidRPr="00F16C03">
        <w:rPr>
          <w:rFonts w:ascii="Book Antiqua" w:eastAsia="Times New Roman" w:hAnsi="Book Antiqua" w:cs="Arial"/>
          <w:sz w:val="20"/>
          <w:szCs w:val="20"/>
        </w:rPr>
        <w:t xml:space="preserve">is defined as the part of the low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burner</w:t>
      </w:r>
      <w:proofErr w:type="spellEnd"/>
      <w:r w:rsidRPr="00F16C03">
        <w:rPr>
          <w:rFonts w:ascii="Book Antiqua" w:eastAsia="Times New Roman" w:hAnsi="Book Antiqua" w:cs="Arial"/>
          <w:sz w:val="20"/>
          <w:szCs w:val="20"/>
        </w:rPr>
        <w:t xml:space="preserve"> that is adjusted to control the split of total combustion air delivered to the reducing and oxidation portions of the combustion flame.</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i/>
          <w:iCs/>
          <w:sz w:val="20"/>
          <w:szCs w:val="20"/>
        </w:rPr>
        <w:t xml:space="preserve">Flue gas recirculation line </w:t>
      </w:r>
      <w:r w:rsidRPr="00F16C03">
        <w:rPr>
          <w:rFonts w:ascii="Book Antiqua" w:eastAsia="Times New Roman" w:hAnsi="Book Antiqua" w:cs="Arial"/>
          <w:sz w:val="20"/>
          <w:szCs w:val="20"/>
        </w:rPr>
        <w:t xml:space="preserve">is defined as the part of Boiler No. 100 that </w:t>
      </w:r>
      <w:proofErr w:type="spellStart"/>
      <w:r w:rsidRPr="00F16C03">
        <w:rPr>
          <w:rFonts w:ascii="Book Antiqua" w:eastAsia="Times New Roman" w:hAnsi="Book Antiqua" w:cs="Arial"/>
          <w:sz w:val="20"/>
          <w:szCs w:val="20"/>
        </w:rPr>
        <w:t>recirculates</w:t>
      </w:r>
      <w:proofErr w:type="spellEnd"/>
      <w:r w:rsidRPr="00F16C03">
        <w:rPr>
          <w:rFonts w:ascii="Book Antiqua" w:eastAsia="Times New Roman" w:hAnsi="Book Antiqua" w:cs="Arial"/>
          <w:sz w:val="20"/>
          <w:szCs w:val="20"/>
        </w:rPr>
        <w:t xml:space="preserve"> a portion of the boiler flue gas back into the combustion air.</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w:t>
      </w:r>
      <w:r w:rsidRPr="00F16C03">
        <w:rPr>
          <w:rFonts w:ascii="Book Antiqua" w:eastAsia="Times New Roman" w:hAnsi="Book Antiqua" w:cs="Arial"/>
          <w:i/>
          <w:iCs/>
          <w:sz w:val="20"/>
          <w:szCs w:val="20"/>
        </w:rPr>
        <w:t xml:space="preserve">Standard for nitrogen </w:t>
      </w:r>
      <w:proofErr w:type="gramStart"/>
      <w:r w:rsidRPr="00F16C03">
        <w:rPr>
          <w:rFonts w:ascii="Book Antiqua" w:eastAsia="Times New Roman" w:hAnsi="Book Antiqua" w:cs="Arial"/>
          <w:i/>
          <w:iCs/>
          <w:sz w:val="20"/>
          <w:szCs w:val="20"/>
        </w:rPr>
        <w:t xml:space="preserve">oxides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When fossil fuel alone is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for fossil fuel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a) applies.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When fossil fuel and chemical by-product waste are simultaneously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is 473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(1.1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 and the air ratio control damper tee handle shall be at a minimum of 5 inches (12.7 centimeters) out of the boiler, and the flue gas recirculation line shall be operated at a minimum of 10 percent open as indicated by its valve opening position indicator.</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w:t>
      </w:r>
      <w:r w:rsidRPr="00F16C03">
        <w:rPr>
          <w:rFonts w:ascii="Book Antiqua" w:eastAsia="Times New Roman" w:hAnsi="Book Antiqua" w:cs="Arial"/>
          <w:i/>
          <w:iCs/>
          <w:sz w:val="20"/>
          <w:szCs w:val="20"/>
        </w:rPr>
        <w:t xml:space="preserve">Emission monitoring for nitrogen </w:t>
      </w:r>
      <w:proofErr w:type="gramStart"/>
      <w:r w:rsidRPr="00F16C03">
        <w:rPr>
          <w:rFonts w:ascii="Book Antiqua" w:eastAsia="Times New Roman" w:hAnsi="Book Antiqua" w:cs="Arial"/>
          <w:i/>
          <w:iCs/>
          <w:sz w:val="20"/>
          <w:szCs w:val="20"/>
        </w:rPr>
        <w:t xml:space="preserve">oxides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air ratio control damper tee handle setting and the flue gas recirculation line valve opening position indicator setting shall be recorded during each 8-hour operating shift.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shall be determined by the compliance and performance test methods and procedures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§60.46b.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(iii) The monitoring of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shall be performed in accordance with §60.48b.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(4) </w:t>
      </w:r>
      <w:r w:rsidRPr="00F16C03">
        <w:rPr>
          <w:rFonts w:ascii="Book Antiqua" w:eastAsia="Times New Roman" w:hAnsi="Book Antiqua" w:cs="Arial"/>
          <w:i/>
          <w:iCs/>
          <w:sz w:val="20"/>
          <w:szCs w:val="20"/>
        </w:rPr>
        <w:t xml:space="preserve">Reporting and recordkeeping </w:t>
      </w:r>
      <w:proofErr w:type="gramStart"/>
      <w:r w:rsidRPr="00F16C03">
        <w:rPr>
          <w:rFonts w:ascii="Book Antiqua" w:eastAsia="Times New Roman" w:hAnsi="Book Antiqua" w:cs="Arial"/>
          <w:i/>
          <w:iCs/>
          <w:sz w:val="20"/>
          <w:szCs w:val="20"/>
        </w:rPr>
        <w:t xml:space="preserve">requirements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owner or operator of Boiler No. 100 shall submit a report on any excursions from the limits required by paragraph (b)(2) of this section to the Administrator with the quarterly report required by §60.49b(</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The owner or operator of Boiler No. 100 shall keep records of the monitoring required by paragraph (b</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3) of this section for a period of 2 years following the date of such record.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The owner of operator of Boiler No. 100 shall perform all the applicable reporting and recordkeeping requirements of §60.49b.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(u) </w:t>
      </w:r>
      <w:r w:rsidRPr="00F16C03">
        <w:rPr>
          <w:rFonts w:ascii="Book Antiqua" w:eastAsia="Times New Roman" w:hAnsi="Book Antiqua" w:cs="Arial"/>
          <w:i/>
          <w:iCs/>
          <w:sz w:val="20"/>
          <w:szCs w:val="20"/>
        </w:rPr>
        <w:t xml:space="preserve">Site-specific standard for Merck &amp; Co., Inc.'s Stonewall Plant in Elkton, </w:t>
      </w:r>
      <w:proofErr w:type="gramStart"/>
      <w:r w:rsidRPr="00F16C03">
        <w:rPr>
          <w:rFonts w:ascii="Book Antiqua" w:eastAsia="Times New Roman" w:hAnsi="Book Antiqua" w:cs="Arial"/>
          <w:i/>
          <w:iCs/>
          <w:sz w:val="20"/>
          <w:szCs w:val="20"/>
        </w:rPr>
        <w:t xml:space="preserve">Virginia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(1) This paragraph (u) applies only to the pharmaceutical manufacturing facility, commonly referred to as the Stonewall Plant, located at Route 340 South, in Elkton, Virginia (“site”) and only to the natural gas-fired boilers installed as part of the powerhouse conversion required pursuant to 40 CFR 52.2454(g). The requirements of this paragraph shall apply, and the requirements of §§60.40b through </w:t>
      </w:r>
      <w:proofErr w:type="gramStart"/>
      <w:r w:rsidRPr="00F16C03">
        <w:rPr>
          <w:rFonts w:ascii="Book Antiqua" w:eastAsia="Times New Roman" w:hAnsi="Book Antiqua" w:cs="Arial"/>
          <w:sz w:val="20"/>
          <w:szCs w:val="20"/>
        </w:rPr>
        <w:t>60.49b(</w:t>
      </w:r>
      <w:proofErr w:type="gramEnd"/>
      <w:r w:rsidRPr="00F16C03">
        <w:rPr>
          <w:rFonts w:ascii="Book Antiqua" w:eastAsia="Times New Roman" w:hAnsi="Book Antiqua" w:cs="Arial"/>
          <w:sz w:val="20"/>
          <w:szCs w:val="20"/>
        </w:rPr>
        <w:t>t) shall not apply, to the natural gas-fired boilers installed pursuant to 40 CFR 52.2454(g).</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The site shall equip the natural gas-fired boilers with low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technology</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The site shall install, calibrate, maintain, and operate a continuous monitoring and recording system for measuring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discharged to the atmosphere and opacity using a continuous emissions monitoring system or a predictive emissions monitoring system.</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Within 180 days of the completion of the powerhouse conversion, as required by 40 CFR 52.2454, the site shall perform a performance test to quantify criteria pollutant emissions.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(2) [Reserved]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(v) The owner or operator of an affected facility may submit electronic quarterly reports for SO</w:t>
      </w:r>
      <w:r w:rsidRPr="00F16C03">
        <w:rPr>
          <w:rFonts w:ascii="Book Antiqua" w:eastAsia="Times New Roman" w:hAnsi="Book Antiqua" w:cs="Arial"/>
          <w:sz w:val="20"/>
          <w:szCs w:val="20"/>
          <w:vertAlign w:val="subscript"/>
        </w:rPr>
        <w:t>2</w:t>
      </w:r>
      <w:r w:rsidRPr="00F16C03">
        <w:rPr>
          <w:rFonts w:ascii="Book Antiqua" w:eastAsia="Times New Roman" w:hAnsi="Book Antiqua" w:cs="Arial"/>
          <w:sz w:val="20"/>
          <w:szCs w:val="20"/>
        </w:rPr>
        <w:t xml:space="preserve">and/or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and</w:t>
      </w:r>
      <w:proofErr w:type="spellEnd"/>
      <w:r w:rsidRPr="00F16C03">
        <w:rPr>
          <w:rFonts w:ascii="Book Antiqua" w:eastAsia="Times New Roman" w:hAnsi="Book Antiqua" w:cs="Arial"/>
          <w:sz w:val="20"/>
          <w:szCs w:val="20"/>
        </w:rPr>
        <w:t>/or opacity in lieu of submitting the written reports required under paragraphs (h),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(j), (k) or (l) of this section. The format of each quarterly electronic report shall be coordinated with the permitting authority. The electronic report(s) shall be submitted no later than 30 days after the end of the calendar quarter and shall be accompanied by a certification statement from the owner or operator, indicating whether compliance with the applicable emission standards and minimum data requirements of this subpart was achieved during the reporting period. Before submitting reports in the electronic format, the owner or operator shall coordinate with the permitting authority to obtain their agreement to submit reports in this alternative format.</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(w) The reporting period for the reports required under this subpart is each 6 month period. All reports shall be submitted to the Administrator and shall be postmarked by the 30th day following the end of the reporting period.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(x) Facility-specific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w:t>
      </w:r>
      <w:proofErr w:type="spellEnd"/>
      <w:r w:rsidRPr="00F16C03">
        <w:rPr>
          <w:rFonts w:ascii="Book Antiqua" w:eastAsia="Times New Roman" w:hAnsi="Book Antiqua" w:cs="Arial"/>
          <w:sz w:val="20"/>
          <w:szCs w:val="20"/>
        </w:rPr>
        <w:t xml:space="preserve"> for Weyerhaeuser Company's No. 2 Power Boiler located in New Bern, North Carolina:</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w:t>
      </w:r>
      <w:r w:rsidRPr="00F16C03">
        <w:rPr>
          <w:rFonts w:ascii="Book Antiqua" w:eastAsia="Times New Roman" w:hAnsi="Book Antiqua" w:cs="Arial"/>
          <w:i/>
          <w:iCs/>
          <w:sz w:val="20"/>
          <w:szCs w:val="20"/>
        </w:rPr>
        <w:t xml:space="preserve">Standard for nitrogen </w:t>
      </w:r>
      <w:proofErr w:type="gramStart"/>
      <w:r w:rsidRPr="00F16C03">
        <w:rPr>
          <w:rFonts w:ascii="Book Antiqua" w:eastAsia="Times New Roman" w:hAnsi="Book Antiqua" w:cs="Arial"/>
          <w:i/>
          <w:iCs/>
          <w:sz w:val="20"/>
          <w:szCs w:val="20"/>
        </w:rPr>
        <w:t xml:space="preserve">oxides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When fossil fuel alone is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for fossil fuel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a) applies.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When fossil fuel and chemical by-product waste are simultaneously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is </w:t>
      </w:r>
      <w:proofErr w:type="gramStart"/>
      <w:r w:rsidRPr="00F16C03">
        <w:rPr>
          <w:rFonts w:ascii="Book Antiqua" w:eastAsia="Times New Roman" w:hAnsi="Book Antiqua" w:cs="Arial"/>
          <w:sz w:val="20"/>
          <w:szCs w:val="20"/>
        </w:rPr>
        <w:t xml:space="preserve">215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(0.5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w:t>
      </w:r>
      <w:r w:rsidRPr="00F16C03">
        <w:rPr>
          <w:rFonts w:ascii="Book Antiqua" w:eastAsia="Times New Roman" w:hAnsi="Book Antiqua" w:cs="Arial"/>
          <w:i/>
          <w:iCs/>
          <w:sz w:val="20"/>
          <w:szCs w:val="20"/>
        </w:rPr>
        <w:t xml:space="preserve">Emission monitoring for nitrogen </w:t>
      </w:r>
      <w:proofErr w:type="gramStart"/>
      <w:r w:rsidRPr="00F16C03">
        <w:rPr>
          <w:rFonts w:ascii="Book Antiqua" w:eastAsia="Times New Roman" w:hAnsi="Book Antiqua" w:cs="Arial"/>
          <w:i/>
          <w:iCs/>
          <w:sz w:val="20"/>
          <w:szCs w:val="20"/>
        </w:rPr>
        <w:t xml:space="preserve">oxides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shall be determined by the compliance and performance test methods and procedures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§60.46b.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The monitoring of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shall be performed in accordance with §60.48b.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w:t>
      </w:r>
      <w:r w:rsidRPr="00F16C03">
        <w:rPr>
          <w:rFonts w:ascii="Book Antiqua" w:eastAsia="Times New Roman" w:hAnsi="Book Antiqua" w:cs="Arial"/>
          <w:i/>
          <w:iCs/>
          <w:sz w:val="20"/>
          <w:szCs w:val="20"/>
        </w:rPr>
        <w:t xml:space="preserve">Reporting and recordkeeping </w:t>
      </w:r>
      <w:proofErr w:type="gramStart"/>
      <w:r w:rsidRPr="00F16C03">
        <w:rPr>
          <w:rFonts w:ascii="Book Antiqua" w:eastAsia="Times New Roman" w:hAnsi="Book Antiqua" w:cs="Arial"/>
          <w:i/>
          <w:iCs/>
          <w:sz w:val="20"/>
          <w:szCs w:val="20"/>
        </w:rPr>
        <w:t xml:space="preserve">requirements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owner or operator of the No. 2 Power Boiler shall submit a report on any excursions from the limits required by paragraph (x)(2) of this section to the Administrator with the quarterly report required by §60.49b(</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The owner or operator of the No. 2 Power Boiler shall keep records of the monitoring required by paragraph (x</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3) of this section for a period of 2 years following the date of such record.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The owner or operator of the No. 2 Power Boiler shall perform all the applicable reporting and recordkeeping requirements of §60.49b.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(y) Facility-specific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standard</w:t>
      </w:r>
      <w:proofErr w:type="spellEnd"/>
      <w:r w:rsidRPr="00F16C03">
        <w:rPr>
          <w:rFonts w:ascii="Book Antiqua" w:eastAsia="Times New Roman" w:hAnsi="Book Antiqua" w:cs="Arial"/>
          <w:sz w:val="20"/>
          <w:szCs w:val="20"/>
        </w:rPr>
        <w:t xml:space="preserve"> for INEOS USA's AOGI located in Lima, Ohio:</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(1) </w:t>
      </w:r>
      <w:r w:rsidRPr="00F16C03">
        <w:rPr>
          <w:rFonts w:ascii="Book Antiqua" w:eastAsia="Times New Roman" w:hAnsi="Book Antiqua" w:cs="Arial"/>
          <w:i/>
          <w:iCs/>
          <w:sz w:val="20"/>
          <w:szCs w:val="20"/>
        </w:rPr>
        <w:t xml:space="preserve">Standard for NO </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When fossil fuel alone is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for fossil fuel in §</w:t>
      </w:r>
      <w:proofErr w:type="gramStart"/>
      <w:r w:rsidRPr="00F16C03">
        <w:rPr>
          <w:rFonts w:ascii="Book Antiqua" w:eastAsia="Times New Roman" w:hAnsi="Book Antiqua" w:cs="Arial"/>
          <w:sz w:val="20"/>
          <w:szCs w:val="20"/>
        </w:rPr>
        <w:t>60.44b(</w:t>
      </w:r>
      <w:proofErr w:type="gramEnd"/>
      <w:r w:rsidRPr="00F16C03">
        <w:rPr>
          <w:rFonts w:ascii="Book Antiqua" w:eastAsia="Times New Roman" w:hAnsi="Book Antiqua" w:cs="Arial"/>
          <w:sz w:val="20"/>
          <w:szCs w:val="20"/>
        </w:rPr>
        <w:t>a) applies.</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When fossil fuel and chemical byproduct/waste are simultaneously combusted,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w:t>
      </w:r>
      <w:proofErr w:type="spellEnd"/>
      <w:r w:rsidRPr="00F16C03">
        <w:rPr>
          <w:rFonts w:ascii="Book Antiqua" w:eastAsia="Times New Roman" w:hAnsi="Book Antiqua" w:cs="Arial"/>
          <w:sz w:val="20"/>
          <w:szCs w:val="20"/>
        </w:rPr>
        <w:t xml:space="preserve"> limit is </w:t>
      </w:r>
      <w:proofErr w:type="gramStart"/>
      <w:r w:rsidRPr="00F16C03">
        <w:rPr>
          <w:rFonts w:ascii="Book Antiqua" w:eastAsia="Times New Roman" w:hAnsi="Book Antiqua" w:cs="Arial"/>
          <w:sz w:val="20"/>
          <w:szCs w:val="20"/>
        </w:rPr>
        <w:t xml:space="preserve">645 </w:t>
      </w:r>
      <w:proofErr w:type="spellStart"/>
      <w:r w:rsidRPr="00F16C03">
        <w:rPr>
          <w:rFonts w:ascii="Book Antiqua" w:eastAsia="Times New Roman" w:hAnsi="Book Antiqua" w:cs="Arial"/>
          <w:sz w:val="20"/>
          <w:szCs w:val="20"/>
        </w:rPr>
        <w:t>ng</w:t>
      </w:r>
      <w:proofErr w:type="spellEnd"/>
      <w:r w:rsidRPr="00F16C03">
        <w:rPr>
          <w:rFonts w:ascii="Book Antiqua" w:eastAsia="Times New Roman" w:hAnsi="Book Antiqua" w:cs="Arial"/>
          <w:sz w:val="20"/>
          <w:szCs w:val="20"/>
        </w:rPr>
        <w:t>/J (1.5 lb/</w:t>
      </w:r>
      <w:proofErr w:type="spellStart"/>
      <w:r w:rsidRPr="00F16C03">
        <w:rPr>
          <w:rFonts w:ascii="Book Antiqua" w:eastAsia="Times New Roman" w:hAnsi="Book Antiqua" w:cs="Arial"/>
          <w:sz w:val="20"/>
          <w:szCs w:val="20"/>
        </w:rPr>
        <w:t>MMBtu</w:t>
      </w:r>
      <w:proofErr w:type="spellEnd"/>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(2) </w:t>
      </w:r>
      <w:r w:rsidRPr="00F16C03">
        <w:rPr>
          <w:rFonts w:ascii="Book Antiqua" w:eastAsia="Times New Roman" w:hAnsi="Book Antiqua" w:cs="Arial"/>
          <w:i/>
          <w:iCs/>
          <w:sz w:val="20"/>
          <w:szCs w:val="20"/>
        </w:rPr>
        <w:t xml:space="preserve">Emission monitoring for NO </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xml:space="preserve">)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shall be determined by the compliance and performance test methods and procedures for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in</w:t>
      </w:r>
      <w:proofErr w:type="spellEnd"/>
      <w:r w:rsidRPr="00F16C03">
        <w:rPr>
          <w:rFonts w:ascii="Book Antiqua" w:eastAsia="Times New Roman" w:hAnsi="Book Antiqua" w:cs="Arial"/>
          <w:sz w:val="20"/>
          <w:szCs w:val="20"/>
        </w:rPr>
        <w:t xml:space="preserve"> §60.46b.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(ii) The monitoring of the </w:t>
      </w:r>
      <w:proofErr w:type="spellStart"/>
      <w:r w:rsidRPr="00F16C03">
        <w:rPr>
          <w:rFonts w:ascii="Book Antiqua" w:eastAsia="Times New Roman" w:hAnsi="Book Antiqua" w:cs="Arial"/>
          <w:sz w:val="20"/>
          <w:szCs w:val="20"/>
        </w:rPr>
        <w:t>NO</w:t>
      </w:r>
      <w:r w:rsidRPr="00F16C03">
        <w:rPr>
          <w:rFonts w:ascii="Book Antiqua" w:eastAsia="Times New Roman" w:hAnsi="Book Antiqua" w:cs="Arial"/>
          <w:sz w:val="20"/>
          <w:szCs w:val="20"/>
          <w:vertAlign w:val="subscript"/>
        </w:rPr>
        <w:t>X</w:t>
      </w:r>
      <w:r w:rsidRPr="00F16C03">
        <w:rPr>
          <w:rFonts w:ascii="Book Antiqua" w:eastAsia="Times New Roman" w:hAnsi="Book Antiqua" w:cs="Arial"/>
          <w:sz w:val="20"/>
          <w:szCs w:val="20"/>
        </w:rPr>
        <w:t>emissions</w:t>
      </w:r>
      <w:proofErr w:type="spellEnd"/>
      <w:r w:rsidRPr="00F16C03">
        <w:rPr>
          <w:rFonts w:ascii="Book Antiqua" w:eastAsia="Times New Roman" w:hAnsi="Book Antiqua" w:cs="Arial"/>
          <w:sz w:val="20"/>
          <w:szCs w:val="20"/>
        </w:rPr>
        <w:t xml:space="preserve"> shall be performed in accordance with §60.48b.</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 xml:space="preserve">(3) </w:t>
      </w:r>
      <w:r w:rsidRPr="00F16C03">
        <w:rPr>
          <w:rFonts w:ascii="Book Antiqua" w:eastAsia="Times New Roman" w:hAnsi="Book Antiqua" w:cs="Arial"/>
          <w:i/>
          <w:iCs/>
          <w:sz w:val="20"/>
          <w:szCs w:val="20"/>
        </w:rPr>
        <w:t xml:space="preserve">Reporting and recordkeeping </w:t>
      </w:r>
      <w:proofErr w:type="gramStart"/>
      <w:r w:rsidRPr="00F16C03">
        <w:rPr>
          <w:rFonts w:ascii="Book Antiqua" w:eastAsia="Times New Roman" w:hAnsi="Book Antiqua" w:cs="Arial"/>
          <w:i/>
          <w:iCs/>
          <w:sz w:val="20"/>
          <w:szCs w:val="20"/>
        </w:rPr>
        <w:t xml:space="preserve">requirements </w:t>
      </w:r>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 xml:space="preserve">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The owner or operator of the AOGI shall submit a report on any excursions from the limits required by paragraph (y</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2) of this section to the Administrator with the quarterly report required by paragraph (</w:t>
      </w:r>
      <w:proofErr w:type="spellStart"/>
      <w:r w:rsidRPr="00F16C03">
        <w:rPr>
          <w:rFonts w:ascii="Book Antiqua" w:eastAsia="Times New Roman" w:hAnsi="Book Antiqua" w:cs="Arial"/>
          <w:sz w:val="20"/>
          <w:szCs w:val="20"/>
        </w:rPr>
        <w:t>i</w:t>
      </w:r>
      <w:proofErr w:type="spellEnd"/>
      <w:r w:rsidRPr="00F16C03">
        <w:rPr>
          <w:rFonts w:ascii="Book Antiqua" w:eastAsia="Times New Roman" w:hAnsi="Book Antiqua" w:cs="Arial"/>
          <w:sz w:val="20"/>
          <w:szCs w:val="20"/>
        </w:rPr>
        <w:t>) of this section.</w:t>
      </w:r>
    </w:p>
    <w:p w:rsidR="00F16C03" w:rsidRDefault="00F16C03">
      <w:pPr>
        <w:rPr>
          <w:rFonts w:ascii="Book Antiqua" w:eastAsia="Times New Roman" w:hAnsi="Book Antiqua" w:cs="Arial"/>
          <w:sz w:val="20"/>
          <w:szCs w:val="20"/>
        </w:rPr>
      </w:pPr>
      <w:r>
        <w:rPr>
          <w:rFonts w:ascii="Book Antiqua" w:eastAsia="Times New Roman" w:hAnsi="Book Antiqua" w:cs="Arial"/>
          <w:sz w:val="20"/>
          <w:szCs w:val="20"/>
        </w:rPr>
        <w:br w:type="page"/>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 The owner or operator of the AOGI shall keep records of the monitoring required by paragraph (y</w:t>
      </w:r>
      <w:proofErr w:type="gramStart"/>
      <w:r w:rsidRPr="00F16C03">
        <w:rPr>
          <w:rFonts w:ascii="Book Antiqua" w:eastAsia="Times New Roman" w:hAnsi="Book Antiqua" w:cs="Arial"/>
          <w:sz w:val="20"/>
          <w:szCs w:val="20"/>
        </w:rPr>
        <w:t>)(</w:t>
      </w:r>
      <w:proofErr w:type="gramEnd"/>
      <w:r w:rsidRPr="00F16C03">
        <w:rPr>
          <w:rFonts w:ascii="Book Antiqua" w:eastAsia="Times New Roman" w:hAnsi="Book Antiqua" w:cs="Arial"/>
          <w:sz w:val="20"/>
          <w:szCs w:val="20"/>
        </w:rPr>
        <w:t>3) of this section for a period of 2 years following the date of such record.</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(iii) The owner or operator of the AOGI shall perform all the applicable reporting and recordkeeping requirements of this section.</w:t>
      </w:r>
    </w:p>
    <w:p w:rsidR="00F16C03" w:rsidRPr="00F16C03" w:rsidRDefault="00F16C03" w:rsidP="00F16C03">
      <w:pPr>
        <w:spacing w:before="100" w:beforeAutospacing="1" w:after="100" w:afterAutospacing="1" w:line="240" w:lineRule="auto"/>
        <w:rPr>
          <w:rFonts w:ascii="Book Antiqua" w:eastAsia="Times New Roman" w:hAnsi="Book Antiqua" w:cs="Arial"/>
          <w:sz w:val="20"/>
          <w:szCs w:val="20"/>
        </w:rPr>
      </w:pPr>
      <w:r w:rsidRPr="00F16C03">
        <w:rPr>
          <w:rFonts w:ascii="Book Antiqua" w:eastAsia="Times New Roman" w:hAnsi="Book Antiqua" w:cs="Arial"/>
          <w:sz w:val="20"/>
          <w:szCs w:val="20"/>
        </w:rPr>
        <w:t>[72 FR 32742, June 13, 2007, as amended at 74 FR 5089, Jan. 28, 2009]</w:t>
      </w:r>
    </w:p>
    <w:p w:rsidR="00342BF0" w:rsidRDefault="00342BF0"/>
    <w:sectPr w:rsidR="00342BF0" w:rsidSect="00342BF0">
      <w:footerReference w:type="default" r:id="rId1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16C03" w:rsidRDefault="00F16C03" w:rsidP="00F16C03">
      <w:pPr>
        <w:spacing w:after="0" w:line="240" w:lineRule="auto"/>
      </w:pPr>
      <w:r>
        <w:separator/>
      </w:r>
    </w:p>
  </w:endnote>
  <w:endnote w:type="continuationSeparator" w:id="0">
    <w:p w:rsidR="00F16C03" w:rsidRDefault="00F16C03" w:rsidP="00F16C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14642"/>
      <w:docPartObj>
        <w:docPartGallery w:val="Page Numbers (Bottom of Page)"/>
        <w:docPartUnique/>
      </w:docPartObj>
    </w:sdtPr>
    <w:sdtContent>
      <w:p w:rsidR="00F16C03" w:rsidRDefault="00F16C03">
        <w:pPr>
          <w:pStyle w:val="Footer0"/>
          <w:jc w:val="center"/>
        </w:pPr>
        <w:fldSimple w:instr=" PAGE   \* MERGEFORMAT ">
          <w:r>
            <w:rPr>
              <w:noProof/>
            </w:rPr>
            <w:t>1</w:t>
          </w:r>
        </w:fldSimple>
      </w:p>
    </w:sdtContent>
  </w:sdt>
  <w:p w:rsidR="00F16C03" w:rsidRPr="00F16C03" w:rsidRDefault="00F16C03" w:rsidP="00F16C03">
    <w:pPr>
      <w:pStyle w:val="Footer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16C03" w:rsidRDefault="00F16C03" w:rsidP="00F16C03">
      <w:pPr>
        <w:spacing w:after="0" w:line="240" w:lineRule="auto"/>
      </w:pPr>
      <w:r>
        <w:separator/>
      </w:r>
    </w:p>
  </w:footnote>
  <w:footnote w:type="continuationSeparator" w:id="0">
    <w:p w:rsidR="00F16C03" w:rsidRDefault="00F16C03" w:rsidP="00F16C0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footnotePr>
    <w:footnote w:id="-1"/>
    <w:footnote w:id="0"/>
  </w:footnotePr>
  <w:endnotePr>
    <w:endnote w:id="-1"/>
    <w:endnote w:id="0"/>
  </w:endnotePr>
  <w:compat/>
  <w:rsids>
    <w:rsidRoot w:val="00F16C03"/>
    <w:rsid w:val="00342BF0"/>
    <w:rsid w:val="00F16C0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BF0"/>
  </w:style>
  <w:style w:type="paragraph" w:styleId="Heading5">
    <w:name w:val="heading 5"/>
    <w:basedOn w:val="Normal"/>
    <w:link w:val="Heading5Char"/>
    <w:uiPriority w:val="9"/>
    <w:qFormat/>
    <w:rsid w:val="00F16C03"/>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F16C03"/>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F16C03"/>
    <w:rPr>
      <w:color w:val="0000FF"/>
      <w:u w:val="single"/>
    </w:rPr>
  </w:style>
  <w:style w:type="character" w:styleId="FollowedHyperlink">
    <w:name w:val="FollowedHyperlink"/>
    <w:basedOn w:val="DefaultParagraphFont"/>
    <w:uiPriority w:val="99"/>
    <w:semiHidden/>
    <w:unhideWhenUsed/>
    <w:rsid w:val="00F16C03"/>
    <w:rPr>
      <w:color w:val="800080"/>
      <w:u w:val="single"/>
    </w:rPr>
  </w:style>
  <w:style w:type="paragraph" w:customStyle="1" w:styleId="td">
    <w:name w:val="td"/>
    <w:basedOn w:val="Normal"/>
    <w:rsid w:val="00F16C03"/>
    <w:pPr>
      <w:spacing w:before="100" w:beforeAutospacing="1" w:after="100" w:afterAutospacing="1" w:line="240" w:lineRule="auto"/>
    </w:pPr>
    <w:rPr>
      <w:rFonts w:ascii="Arial" w:eastAsia="Times New Roman" w:hAnsi="Arial" w:cs="Arial"/>
      <w:sz w:val="16"/>
      <w:szCs w:val="16"/>
    </w:rPr>
  </w:style>
  <w:style w:type="paragraph" w:customStyle="1" w:styleId="tr">
    <w:name w:val="tr"/>
    <w:basedOn w:val="Normal"/>
    <w:rsid w:val="00F16C03"/>
    <w:pPr>
      <w:spacing w:before="100" w:beforeAutospacing="1" w:after="100" w:afterAutospacing="1" w:line="240" w:lineRule="auto"/>
    </w:pPr>
    <w:rPr>
      <w:rFonts w:ascii="Arial" w:eastAsia="Times New Roman" w:hAnsi="Arial" w:cs="Arial"/>
      <w:sz w:val="16"/>
      <w:szCs w:val="16"/>
    </w:rPr>
  </w:style>
  <w:style w:type="paragraph" w:customStyle="1" w:styleId="h1">
    <w:name w:val="h1"/>
    <w:basedOn w:val="Normal"/>
    <w:rsid w:val="00F16C03"/>
    <w:pPr>
      <w:spacing w:before="100" w:beforeAutospacing="1" w:after="100" w:afterAutospacing="1" w:line="360" w:lineRule="atLeast"/>
    </w:pPr>
    <w:rPr>
      <w:rFonts w:ascii="Arial" w:eastAsia="Times New Roman" w:hAnsi="Arial" w:cs="Arial"/>
      <w:b/>
      <w:bCs/>
    </w:rPr>
  </w:style>
  <w:style w:type="paragraph" w:customStyle="1" w:styleId="h2">
    <w:name w:val="h2"/>
    <w:basedOn w:val="Normal"/>
    <w:rsid w:val="00F16C03"/>
    <w:pPr>
      <w:spacing w:before="100" w:beforeAutospacing="1" w:after="0" w:line="240" w:lineRule="auto"/>
    </w:pPr>
    <w:rPr>
      <w:rFonts w:ascii="Arial" w:eastAsia="Times New Roman" w:hAnsi="Arial" w:cs="Arial"/>
      <w:b/>
      <w:bCs/>
      <w:color w:val="000000"/>
      <w:sz w:val="19"/>
      <w:szCs w:val="19"/>
    </w:rPr>
  </w:style>
  <w:style w:type="paragraph" w:customStyle="1" w:styleId="h3">
    <w:name w:val="h3"/>
    <w:basedOn w:val="Normal"/>
    <w:rsid w:val="00F16C03"/>
    <w:pPr>
      <w:spacing w:before="100" w:beforeAutospacing="1" w:after="0" w:line="240" w:lineRule="auto"/>
    </w:pPr>
    <w:rPr>
      <w:rFonts w:ascii="Arial" w:eastAsia="Times New Roman" w:hAnsi="Arial" w:cs="Arial"/>
      <w:b/>
      <w:bCs/>
      <w:sz w:val="16"/>
      <w:szCs w:val="16"/>
    </w:rPr>
  </w:style>
  <w:style w:type="paragraph" w:customStyle="1" w:styleId="caption">
    <w:name w:val="caption"/>
    <w:basedOn w:val="Normal"/>
    <w:rsid w:val="00F16C03"/>
    <w:pPr>
      <w:spacing w:before="100" w:beforeAutospacing="1" w:after="0" w:line="240" w:lineRule="auto"/>
    </w:pPr>
    <w:rPr>
      <w:rFonts w:ascii="Arial" w:eastAsia="Times New Roman" w:hAnsi="Arial" w:cs="Arial"/>
      <w:b/>
      <w:bCs/>
      <w:sz w:val="16"/>
      <w:szCs w:val="16"/>
    </w:rPr>
  </w:style>
  <w:style w:type="paragraph" w:customStyle="1" w:styleId="footer">
    <w:name w:val="footer"/>
    <w:basedOn w:val="Normal"/>
    <w:rsid w:val="00F16C03"/>
    <w:pPr>
      <w:spacing w:before="100" w:beforeAutospacing="1" w:after="100" w:afterAutospacing="1" w:line="240" w:lineRule="auto"/>
      <w:jc w:val="center"/>
    </w:pPr>
    <w:rPr>
      <w:rFonts w:ascii="Arial" w:eastAsia="Times New Roman" w:hAnsi="Arial" w:cs="Arial"/>
      <w:sz w:val="14"/>
      <w:szCs w:val="14"/>
    </w:rPr>
  </w:style>
  <w:style w:type="paragraph" w:customStyle="1" w:styleId="top">
    <w:name w:val="top"/>
    <w:basedOn w:val="Normal"/>
    <w:rsid w:val="00F16C03"/>
    <w:pPr>
      <w:spacing w:before="100" w:beforeAutospacing="1" w:after="100" w:afterAutospacing="1" w:line="240" w:lineRule="auto"/>
      <w:jc w:val="right"/>
    </w:pPr>
    <w:rPr>
      <w:rFonts w:ascii="Arial" w:eastAsia="Times New Roman" w:hAnsi="Arial" w:cs="Arial"/>
      <w:sz w:val="14"/>
      <w:szCs w:val="14"/>
    </w:rPr>
  </w:style>
  <w:style w:type="paragraph" w:customStyle="1" w:styleId="tablespacing">
    <w:name w:val="tablespacing"/>
    <w:basedOn w:val="Normal"/>
    <w:rsid w:val="00F1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F16C03"/>
    <w:pPr>
      <w:spacing w:before="100" w:beforeAutospacing="1" w:after="100" w:afterAutospacing="1" w:line="240" w:lineRule="auto"/>
    </w:pPr>
    <w:rPr>
      <w:rFonts w:ascii="Arial" w:eastAsia="Times New Roman" w:hAnsi="Arial" w:cs="Arial"/>
      <w:sz w:val="15"/>
      <w:szCs w:val="15"/>
    </w:rPr>
  </w:style>
  <w:style w:type="paragraph" w:customStyle="1" w:styleId="navigation">
    <w:name w:val="navigation"/>
    <w:basedOn w:val="Normal"/>
    <w:rsid w:val="00F16C03"/>
    <w:pPr>
      <w:spacing w:before="100" w:beforeAutospacing="1" w:after="100" w:afterAutospacing="1" w:line="240" w:lineRule="auto"/>
    </w:pPr>
    <w:rPr>
      <w:rFonts w:ascii="Arial" w:eastAsia="Times New Roman" w:hAnsi="Arial" w:cs="Arial"/>
      <w:sz w:val="14"/>
      <w:szCs w:val="14"/>
    </w:rPr>
  </w:style>
  <w:style w:type="paragraph" w:customStyle="1" w:styleId="invisiblelink">
    <w:name w:val="invisiblelink"/>
    <w:basedOn w:val="Normal"/>
    <w:rsid w:val="00F16C03"/>
    <w:pPr>
      <w:spacing w:before="100" w:beforeAutospacing="1" w:after="100" w:afterAutospacing="1" w:line="240" w:lineRule="auto"/>
    </w:pPr>
    <w:rPr>
      <w:rFonts w:ascii="Arial" w:eastAsia="Times New Roman" w:hAnsi="Arial" w:cs="Arial"/>
      <w:color w:val="FFFFFF"/>
      <w:sz w:val="14"/>
      <w:szCs w:val="14"/>
    </w:rPr>
  </w:style>
  <w:style w:type="paragraph" w:customStyle="1" w:styleId="toplogo">
    <w:name w:val="toplogo"/>
    <w:basedOn w:val="Normal"/>
    <w:rsid w:val="00F16C03"/>
    <w:pPr>
      <w:spacing w:before="100" w:beforeAutospacing="1" w:after="0" w:line="240" w:lineRule="auto"/>
    </w:pPr>
    <w:rPr>
      <w:rFonts w:ascii="Arial" w:eastAsia="Times New Roman" w:hAnsi="Arial" w:cs="Arial"/>
      <w:b/>
      <w:bCs/>
      <w:sz w:val="19"/>
      <w:szCs w:val="19"/>
    </w:rPr>
  </w:style>
  <w:style w:type="paragraph" w:customStyle="1" w:styleId="search">
    <w:name w:val="search"/>
    <w:basedOn w:val="Normal"/>
    <w:rsid w:val="00F16C03"/>
    <w:pPr>
      <w:spacing w:before="100" w:beforeAutospacing="1" w:after="100" w:afterAutospacing="1" w:line="240" w:lineRule="auto"/>
    </w:pPr>
    <w:rPr>
      <w:rFonts w:ascii="Arial" w:eastAsia="Times New Roman" w:hAnsi="Arial" w:cs="Arial"/>
      <w:sz w:val="14"/>
      <w:szCs w:val="14"/>
    </w:rPr>
  </w:style>
  <w:style w:type="paragraph" w:customStyle="1" w:styleId="side">
    <w:name w:val="side"/>
    <w:basedOn w:val="Normal"/>
    <w:rsid w:val="00F16C03"/>
    <w:pPr>
      <w:spacing w:before="100" w:beforeAutospacing="1" w:after="100" w:afterAutospacing="1" w:line="240" w:lineRule="auto"/>
    </w:pPr>
    <w:rPr>
      <w:rFonts w:ascii="Arial" w:eastAsia="Times New Roman" w:hAnsi="Arial" w:cs="Arial"/>
      <w:sz w:val="16"/>
      <w:szCs w:val="16"/>
    </w:rPr>
  </w:style>
  <w:style w:type="paragraph" w:customStyle="1" w:styleId="subparagraph">
    <w:name w:val="subparagraph"/>
    <w:basedOn w:val="Normal"/>
    <w:rsid w:val="00F16C03"/>
    <w:pPr>
      <w:spacing w:before="100" w:beforeAutospacing="1" w:after="100" w:afterAutospacing="1" w:line="240" w:lineRule="auto"/>
    </w:pPr>
    <w:rPr>
      <w:rFonts w:ascii="Arial" w:eastAsia="Times New Roman" w:hAnsi="Arial" w:cs="Arial"/>
      <w:sz w:val="16"/>
      <w:szCs w:val="16"/>
    </w:rPr>
  </w:style>
  <w:style w:type="paragraph" w:customStyle="1" w:styleId="head">
    <w:name w:val="head"/>
    <w:basedOn w:val="Normal"/>
    <w:rsid w:val="00F16C03"/>
    <w:pPr>
      <w:spacing w:before="100" w:beforeAutospacing="1" w:after="100" w:afterAutospacing="1" w:line="240" w:lineRule="auto"/>
    </w:pPr>
    <w:rPr>
      <w:rFonts w:ascii="Arial" w:eastAsia="Times New Roman" w:hAnsi="Arial" w:cs="Arial"/>
      <w:b/>
      <w:bCs/>
      <w:sz w:val="25"/>
      <w:szCs w:val="25"/>
    </w:rPr>
  </w:style>
  <w:style w:type="paragraph" w:customStyle="1" w:styleId="recentupdateslink">
    <w:name w:val="recentupdateslink"/>
    <w:basedOn w:val="Normal"/>
    <w:rsid w:val="00F16C03"/>
    <w:pPr>
      <w:spacing w:before="100" w:beforeAutospacing="1" w:after="100" w:afterAutospacing="1" w:line="240" w:lineRule="auto"/>
    </w:pPr>
    <w:rPr>
      <w:rFonts w:ascii="Arial" w:eastAsia="Times New Roman" w:hAnsi="Arial" w:cs="Arial"/>
      <w:b/>
      <w:bCs/>
      <w:sz w:val="16"/>
      <w:szCs w:val="16"/>
    </w:rPr>
  </w:style>
  <w:style w:type="paragraph" w:customStyle="1" w:styleId="updatetitle">
    <w:name w:val="updatetitle"/>
    <w:basedOn w:val="Normal"/>
    <w:rsid w:val="00F16C03"/>
    <w:pPr>
      <w:spacing w:before="100" w:beforeAutospacing="1" w:after="100" w:afterAutospacing="1" w:line="240" w:lineRule="auto"/>
      <w:ind w:firstLine="100"/>
    </w:pPr>
    <w:rPr>
      <w:rFonts w:ascii="Arial" w:eastAsia="Times New Roman" w:hAnsi="Arial" w:cs="Arial"/>
      <w:b/>
      <w:bCs/>
      <w:color w:val="FF0000"/>
      <w:sz w:val="19"/>
      <w:szCs w:val="19"/>
    </w:rPr>
  </w:style>
  <w:style w:type="paragraph" w:customStyle="1" w:styleId="updatebodytest">
    <w:name w:val="updatebodytest"/>
    <w:basedOn w:val="Normal"/>
    <w:rsid w:val="00F16C03"/>
    <w:pPr>
      <w:spacing w:before="100" w:beforeAutospacing="1" w:after="100" w:afterAutospacing="1" w:line="240" w:lineRule="auto"/>
    </w:pPr>
    <w:rPr>
      <w:rFonts w:ascii="Arial" w:eastAsia="Times New Roman" w:hAnsi="Arial" w:cs="Arial"/>
      <w:sz w:val="16"/>
      <w:szCs w:val="16"/>
    </w:rPr>
  </w:style>
  <w:style w:type="paragraph" w:customStyle="1" w:styleId="updatebold">
    <w:name w:val="updatebold"/>
    <w:basedOn w:val="Normal"/>
    <w:rsid w:val="00F16C03"/>
    <w:pPr>
      <w:spacing w:before="100" w:beforeAutospacing="1" w:after="100" w:afterAutospacing="1" w:line="240" w:lineRule="auto"/>
    </w:pPr>
    <w:rPr>
      <w:rFonts w:ascii="Arial" w:eastAsia="Times New Roman" w:hAnsi="Arial" w:cs="Arial"/>
      <w:b/>
      <w:bCs/>
      <w:sz w:val="16"/>
      <w:szCs w:val="16"/>
    </w:rPr>
  </w:style>
  <w:style w:type="paragraph" w:customStyle="1" w:styleId="body">
    <w:name w:val="body"/>
    <w:basedOn w:val="Normal"/>
    <w:rsid w:val="00F16C03"/>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F16C03"/>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F16C03"/>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F16C03"/>
    <w:pPr>
      <w:spacing w:before="100" w:beforeAutospacing="1" w:after="100" w:afterAutospacing="1" w:line="240" w:lineRule="auto"/>
    </w:pPr>
    <w:rPr>
      <w:rFonts w:ascii="Arial" w:eastAsia="Times New Roman" w:hAnsi="Arial" w:cs="Arial"/>
      <w:b/>
      <w:bCs/>
      <w:sz w:val="27"/>
      <w:szCs w:val="27"/>
    </w:rPr>
  </w:style>
  <w:style w:type="paragraph" w:customStyle="1" w:styleId="subtitle">
    <w:name w:val="subtitle"/>
    <w:basedOn w:val="Normal"/>
    <w:rsid w:val="00F16C03"/>
    <w:pPr>
      <w:spacing w:before="100" w:beforeAutospacing="1" w:after="100" w:afterAutospacing="1" w:line="240" w:lineRule="auto"/>
    </w:pPr>
    <w:rPr>
      <w:rFonts w:ascii="Arial" w:eastAsia="Times New Roman" w:hAnsi="Arial" w:cs="Arial"/>
      <w:b/>
      <w:bCs/>
      <w:sz w:val="19"/>
      <w:szCs w:val="19"/>
    </w:rPr>
  </w:style>
  <w:style w:type="paragraph" w:customStyle="1" w:styleId="mainheader">
    <w:name w:val="mainheader"/>
    <w:basedOn w:val="Normal"/>
    <w:rsid w:val="00F16C03"/>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F16C03"/>
    <w:pPr>
      <w:spacing w:before="100" w:beforeAutospacing="1" w:after="100" w:afterAutospacing="1" w:line="240" w:lineRule="auto"/>
    </w:pPr>
    <w:rPr>
      <w:rFonts w:ascii="Arial" w:eastAsia="Times New Roman" w:hAnsi="Arial" w:cs="Arial"/>
      <w:b/>
      <w:bCs/>
    </w:rPr>
  </w:style>
  <w:style w:type="paragraph" w:customStyle="1" w:styleId="subchapter">
    <w:name w:val="subchapter"/>
    <w:basedOn w:val="Normal"/>
    <w:rsid w:val="00F16C03"/>
    <w:pPr>
      <w:spacing w:before="100" w:beforeAutospacing="1" w:after="100" w:afterAutospacing="1" w:line="240" w:lineRule="auto"/>
    </w:pPr>
    <w:rPr>
      <w:rFonts w:ascii="Arial" w:eastAsia="Times New Roman" w:hAnsi="Arial" w:cs="Arial"/>
      <w:b/>
      <w:bCs/>
      <w:sz w:val="19"/>
      <w:szCs w:val="19"/>
    </w:rPr>
  </w:style>
  <w:style w:type="paragraph" w:customStyle="1" w:styleId="part">
    <w:name w:val="part"/>
    <w:basedOn w:val="Normal"/>
    <w:rsid w:val="00F16C03"/>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F16C03"/>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F16C03"/>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F16C03"/>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F16C03"/>
    <w:pPr>
      <w:spacing w:before="100" w:beforeAutospacing="1" w:after="100" w:afterAutospacing="1" w:line="240" w:lineRule="auto"/>
    </w:pPr>
    <w:rPr>
      <w:rFonts w:ascii="Arial" w:eastAsia="Times New Roman" w:hAnsi="Arial" w:cs="Arial"/>
      <w:sz w:val="16"/>
      <w:szCs w:val="16"/>
    </w:rPr>
  </w:style>
  <w:style w:type="paragraph" w:customStyle="1" w:styleId="hilite">
    <w:name w:val="hilite"/>
    <w:basedOn w:val="Normal"/>
    <w:rsid w:val="00F16C03"/>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F16C03"/>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F16C0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F16C03"/>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F16C03"/>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F16C03"/>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F16C0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F16C03"/>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F16C03"/>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F16C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F16C03"/>
    <w:rPr>
      <w:rFonts w:ascii="Arial" w:hAnsi="Arial" w:cs="Arial" w:hint="default"/>
      <w:b w:val="0"/>
      <w:bCs w:val="0"/>
      <w:i w:val="0"/>
      <w:iCs w:val="0"/>
      <w:smallCaps w:val="0"/>
      <w:sz w:val="16"/>
      <w:szCs w:val="16"/>
    </w:rPr>
  </w:style>
  <w:style w:type="character" w:styleId="Strong">
    <w:name w:val="Strong"/>
    <w:basedOn w:val="DefaultParagraphFont"/>
    <w:uiPriority w:val="22"/>
    <w:qFormat/>
    <w:rsid w:val="00F16C03"/>
    <w:rPr>
      <w:b/>
      <w:bCs/>
    </w:rPr>
  </w:style>
  <w:style w:type="character" w:customStyle="1" w:styleId="mainheader1">
    <w:name w:val="mainheader1"/>
    <w:basedOn w:val="DefaultParagraphFont"/>
    <w:rsid w:val="00F16C03"/>
    <w:rPr>
      <w:b/>
      <w:bCs/>
      <w:sz w:val="31"/>
      <w:szCs w:val="31"/>
    </w:rPr>
  </w:style>
  <w:style w:type="character" w:customStyle="1" w:styleId="div5head">
    <w:name w:val="div5head"/>
    <w:basedOn w:val="DefaultParagraphFont"/>
    <w:rsid w:val="00F16C03"/>
  </w:style>
  <w:style w:type="paragraph" w:styleId="BalloonText">
    <w:name w:val="Balloon Text"/>
    <w:basedOn w:val="Normal"/>
    <w:link w:val="BalloonTextChar"/>
    <w:uiPriority w:val="99"/>
    <w:semiHidden/>
    <w:unhideWhenUsed/>
    <w:rsid w:val="00F16C0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C03"/>
    <w:rPr>
      <w:rFonts w:ascii="Tahoma" w:hAnsi="Tahoma" w:cs="Tahoma"/>
      <w:sz w:val="16"/>
      <w:szCs w:val="16"/>
    </w:rPr>
  </w:style>
  <w:style w:type="paragraph" w:styleId="Header">
    <w:name w:val="header"/>
    <w:basedOn w:val="Normal"/>
    <w:link w:val="HeaderChar"/>
    <w:uiPriority w:val="99"/>
    <w:semiHidden/>
    <w:unhideWhenUsed/>
    <w:rsid w:val="00F16C03"/>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16C03"/>
  </w:style>
  <w:style w:type="paragraph" w:styleId="Footer0">
    <w:name w:val="footer"/>
    <w:basedOn w:val="Normal"/>
    <w:link w:val="FooterChar"/>
    <w:uiPriority w:val="99"/>
    <w:unhideWhenUsed/>
    <w:rsid w:val="00F16C03"/>
    <w:pPr>
      <w:tabs>
        <w:tab w:val="center" w:pos="4680"/>
        <w:tab w:val="right" w:pos="9360"/>
      </w:tabs>
      <w:spacing w:after="0" w:line="240" w:lineRule="auto"/>
    </w:pPr>
  </w:style>
  <w:style w:type="character" w:customStyle="1" w:styleId="FooterChar">
    <w:name w:val="Footer Char"/>
    <w:basedOn w:val="DefaultParagraphFont"/>
    <w:link w:val="Footer0"/>
    <w:uiPriority w:val="99"/>
    <w:rsid w:val="00F16C03"/>
  </w:style>
</w:styles>
</file>

<file path=word/webSettings.xml><?xml version="1.0" encoding="utf-8"?>
<w:webSettings xmlns:r="http://schemas.openxmlformats.org/officeDocument/2006/relationships" xmlns:w="http://schemas.openxmlformats.org/wordprocessingml/2006/main">
  <w:divs>
    <w:div w:id="1936937154">
      <w:bodyDiv w:val="1"/>
      <w:marLeft w:val="0"/>
      <w:marRight w:val="0"/>
      <w:marTop w:val="0"/>
      <w:marBottom w:val="0"/>
      <w:divBdr>
        <w:top w:val="none" w:sz="0" w:space="0" w:color="auto"/>
        <w:left w:val="none" w:sz="0" w:space="0" w:color="auto"/>
        <w:bottom w:val="none" w:sz="0" w:space="0" w:color="auto"/>
        <w:right w:val="none" w:sz="0" w:space="0" w:color="auto"/>
      </w:divBdr>
      <w:divsChild>
        <w:div w:id="947389764">
          <w:marLeft w:val="0"/>
          <w:marRight w:val="0"/>
          <w:marTop w:val="0"/>
          <w:marBottom w:val="0"/>
          <w:divBdr>
            <w:top w:val="none" w:sz="0" w:space="0" w:color="auto"/>
            <w:left w:val="none" w:sz="0" w:space="0" w:color="auto"/>
            <w:bottom w:val="none" w:sz="0" w:space="0" w:color="auto"/>
            <w:right w:val="none" w:sz="0" w:space="0" w:color="auto"/>
          </w:divBdr>
          <w:divsChild>
            <w:div w:id="56623235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43476937">
          <w:marLeft w:val="0"/>
          <w:marRight w:val="0"/>
          <w:marTop w:val="0"/>
          <w:marBottom w:val="0"/>
          <w:divBdr>
            <w:top w:val="none" w:sz="0" w:space="0" w:color="auto"/>
            <w:left w:val="none" w:sz="0" w:space="0" w:color="auto"/>
            <w:bottom w:val="none" w:sz="0" w:space="0" w:color="auto"/>
            <w:right w:val="none" w:sz="0" w:space="0" w:color="auto"/>
          </w:divBdr>
          <w:divsChild>
            <w:div w:id="25009120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image" Target="media/image10.gif"/><Relationship Id="rId3" Type="http://schemas.openxmlformats.org/officeDocument/2006/relationships/webSettings" Target="webSettings.xml"/><Relationship Id="rId21" Type="http://schemas.openxmlformats.org/officeDocument/2006/relationships/glossaryDocument" Target="glossary/document.xml"/><Relationship Id="rId7" Type="http://schemas.openxmlformats.org/officeDocument/2006/relationships/hyperlink" Target="http://ecfr.gpoaccess.gov/cgi/t/text/text-idx?c=ecfr;sid=33fb5e570c32cfe9c11c9a778f0c7545;rgn=div6;view=text;node=40%3A6.0.1.1.1.12;idno=40;cc=ecfr" TargetMode="External"/><Relationship Id="rId12" Type="http://schemas.openxmlformats.org/officeDocument/2006/relationships/image" Target="media/image5.gif"/><Relationship Id="rId17" Type="http://schemas.openxmlformats.org/officeDocument/2006/relationships/hyperlink" Target="http://ecfr.gpoaccess.gov/cgi/t/text/text-idx?c=ecfr;sid=33fb5e570c32cfe9c11c9a778f0c7545;rgn=div2;view=text;node=20110120%3A1.37;idno=40;cc=ecfr;start=1;size=25" TargetMode="External"/><Relationship Id="rId2" Type="http://schemas.openxmlformats.org/officeDocument/2006/relationships/settings" Target="settings.xml"/><Relationship Id="rId16" Type="http://schemas.openxmlformats.org/officeDocument/2006/relationships/image" Target="media/image9.gif"/><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ecfr.gpoaccess.gov/cgi/t/text/text-idx?c=ecfr;sid=33fb5e570c32cfe9c11c9a778f0c7545;rgn=div6;view=text;node=40%3A6.0.1.1.1.10;idno=40;cc=ecfr" TargetMode="External"/><Relationship Id="rId11" Type="http://schemas.openxmlformats.org/officeDocument/2006/relationships/image" Target="media/image4.gif"/><Relationship Id="rId5" Type="http://schemas.openxmlformats.org/officeDocument/2006/relationships/endnotes" Target="endnote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2.gif"/><Relationship Id="rId14" Type="http://schemas.openxmlformats.org/officeDocument/2006/relationships/image" Target="media/image7.gif"/><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markup="0" w:comments="0" w:insDel="0" w:formatting="0" w:inkAnnotations="0"/>
  <w:defaultTabStop w:val="720"/>
  <w:characterSpacingControl w:val="doNotCompress"/>
  <w:compat>
    <w:useFELayout/>
  </w:compat>
  <w:rsids>
    <w:rsidRoot w:val="000022CA"/>
    <w:rsid w:val="000022C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3A2A747B3BB460DB2D3A7955E6E243F">
    <w:name w:val="A3A2A747B3BB460DB2D3A7955E6E243F"/>
    <w:rsid w:val="000022CA"/>
  </w:style>
  <w:style w:type="paragraph" w:customStyle="1" w:styleId="A3375C2ECD3A414993B6AD51229EEA4F">
    <w:name w:val="A3375C2ECD3A414993B6AD51229EEA4F"/>
    <w:rsid w:val="000022CA"/>
  </w:style>
  <w:style w:type="paragraph" w:customStyle="1" w:styleId="9D202FCBA39643199CD4017F3089FE99">
    <w:name w:val="9D202FCBA39643199CD4017F3089FE99"/>
    <w:rsid w:val="000022C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48</Pages>
  <Words>19928</Words>
  <Characters>113595</Characters>
  <Application>Microsoft Office Word</Application>
  <DocSecurity>0</DocSecurity>
  <Lines>946</Lines>
  <Paragraphs>266</Paragraphs>
  <ScaleCrop>false</ScaleCrop>
  <Company>Northeast District</Company>
  <LinksUpToDate>false</LinksUpToDate>
  <CharactersWithSpaces>133257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Leslie Maybin</dc:creator>
  <cp:keywords/>
  <dc:description/>
  <cp:lastModifiedBy>Leslie Maybin</cp:lastModifiedBy>
  <cp:revision>2</cp:revision>
  <dcterms:created xsi:type="dcterms:W3CDTF">2011-06-20T14:01:00Z</dcterms:created>
  <dcterms:modified xsi:type="dcterms:W3CDTF">2011-06-20T14:13:00Z</dcterms:modified>
</cp:coreProperties>
</file>